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D08EB">
      <w:pPr>
        <w:rPr>
          <w:rFonts w:ascii="Times New Roman" w:hAnsi="Times New Roman" w:cs="Times New Roman"/>
          <w:sz w:val="36"/>
          <w:szCs w:val="36"/>
        </w:rPr>
      </w:pPr>
      <w:r>
        <w:rPr>
          <w:rFonts w:hint="eastAsia" w:ascii="Times New Roman" w:hAnsi="Times New Roman" w:cs="Times New Roman"/>
          <w:sz w:val="36"/>
          <w:szCs w:val="36"/>
        </w:rPr>
        <w:t>附件</w:t>
      </w:r>
      <w:r>
        <w:rPr>
          <w:rFonts w:ascii="Times New Roman" w:hAnsi="Times New Roman" w:cs="Times New Roman"/>
          <w:sz w:val="36"/>
          <w:szCs w:val="36"/>
        </w:rPr>
        <w:t>2</w:t>
      </w:r>
    </w:p>
    <w:p w14:paraId="6576763A">
      <w:pPr>
        <w:rPr>
          <w:rFonts w:ascii="Times New Roman" w:hAnsi="Times New Roman" w:cs="Times New Roman"/>
          <w:sz w:val="36"/>
          <w:szCs w:val="36"/>
        </w:rPr>
      </w:pPr>
    </w:p>
    <w:p w14:paraId="60514B7C">
      <w:pPr>
        <w:ind w:firstLine="720"/>
        <w:rPr>
          <w:rFonts w:ascii="Times New Roman" w:hAnsi="Times New Roman" w:cs="Times New Roman"/>
          <w:sz w:val="36"/>
          <w:szCs w:val="36"/>
        </w:rPr>
      </w:pPr>
    </w:p>
    <w:p w14:paraId="0BF978E9">
      <w:pPr>
        <w:ind w:firstLine="720"/>
        <w:rPr>
          <w:rFonts w:ascii="Times New Roman" w:hAnsi="Times New Roman" w:cs="Times New Roman"/>
          <w:sz w:val="36"/>
          <w:szCs w:val="36"/>
        </w:rPr>
      </w:pPr>
    </w:p>
    <w:p w14:paraId="01DFECD7">
      <w:pPr>
        <w:ind w:firstLine="720"/>
        <w:rPr>
          <w:rFonts w:ascii="Times New Roman" w:hAnsi="Times New Roman" w:cs="Times New Roman"/>
          <w:sz w:val="36"/>
          <w:szCs w:val="36"/>
        </w:rPr>
      </w:pPr>
    </w:p>
    <w:p w14:paraId="1C809212">
      <w:pPr>
        <w:ind w:firstLine="720"/>
        <w:rPr>
          <w:rFonts w:ascii="Times New Roman" w:hAnsi="Times New Roman" w:cs="Times New Roman"/>
          <w:sz w:val="36"/>
          <w:szCs w:val="36"/>
        </w:rPr>
      </w:pPr>
    </w:p>
    <w:p w14:paraId="03EDC0EA">
      <w:pPr>
        <w:jc w:val="center"/>
        <w:rPr>
          <w:rFonts w:ascii="Times New Roman" w:hAnsi="Times New Roman" w:cs="Times New Roman"/>
          <w:sz w:val="48"/>
          <w:szCs w:val="36"/>
        </w:rPr>
      </w:pPr>
    </w:p>
    <w:p w14:paraId="0CEED9B8">
      <w:pPr>
        <w:ind w:firstLine="960"/>
        <w:jc w:val="center"/>
        <w:rPr>
          <w:rFonts w:ascii="Times New Roman" w:hAnsi="Times New Roman" w:cs="Times New Roman"/>
          <w:sz w:val="48"/>
          <w:szCs w:val="36"/>
        </w:rPr>
      </w:pPr>
    </w:p>
    <w:p w14:paraId="7429DADF">
      <w:pPr>
        <w:jc w:val="center"/>
        <w:rPr>
          <w:rFonts w:ascii="Times New Roman" w:hAnsi="Times New Roman" w:cs="Times New Roman"/>
          <w:sz w:val="48"/>
          <w:szCs w:val="36"/>
        </w:rPr>
      </w:pPr>
      <w:r>
        <w:rPr>
          <w:rFonts w:ascii="Times New Roman" w:hAnsi="Times New Roman" w:cs="Times New Roman"/>
          <w:sz w:val="48"/>
          <w:szCs w:val="36"/>
        </w:rPr>
        <w:t>《钢铁</w:t>
      </w:r>
      <w:r>
        <w:rPr>
          <w:rFonts w:hint="eastAsia" w:ascii="Times New Roman" w:hAnsi="Times New Roman" w:cs="Times New Roman"/>
          <w:sz w:val="48"/>
          <w:szCs w:val="36"/>
        </w:rPr>
        <w:t>工</w:t>
      </w:r>
      <w:r>
        <w:rPr>
          <w:rFonts w:ascii="Times New Roman" w:hAnsi="Times New Roman" w:cs="Times New Roman"/>
          <w:sz w:val="48"/>
          <w:szCs w:val="36"/>
        </w:rPr>
        <w:t>业大气污染物排放标准》</w:t>
      </w:r>
    </w:p>
    <w:p w14:paraId="7D316151">
      <w:pPr>
        <w:jc w:val="center"/>
        <w:rPr>
          <w:rFonts w:ascii="Times New Roman" w:hAnsi="Times New Roman" w:cs="Times New Roman"/>
          <w:sz w:val="48"/>
          <w:szCs w:val="36"/>
        </w:rPr>
      </w:pPr>
    </w:p>
    <w:p w14:paraId="5FF73514">
      <w:pPr>
        <w:jc w:val="center"/>
        <w:rPr>
          <w:rFonts w:ascii="Times New Roman" w:hAnsi="Times New Roman" w:cs="Times New Roman"/>
          <w:sz w:val="48"/>
          <w:szCs w:val="36"/>
        </w:rPr>
      </w:pPr>
    </w:p>
    <w:p w14:paraId="184F3FCF">
      <w:pPr>
        <w:jc w:val="center"/>
        <w:rPr>
          <w:rFonts w:ascii="Times New Roman" w:hAnsi="Times New Roman" w:cs="Times New Roman"/>
          <w:sz w:val="48"/>
          <w:szCs w:val="36"/>
        </w:rPr>
      </w:pPr>
      <w:r>
        <w:rPr>
          <w:rFonts w:ascii="Times New Roman" w:hAnsi="Times New Roman" w:cs="Times New Roman"/>
          <w:sz w:val="48"/>
          <w:szCs w:val="36"/>
        </w:rPr>
        <w:t>编制说明</w:t>
      </w:r>
    </w:p>
    <w:p w14:paraId="55F93667">
      <w:pPr>
        <w:jc w:val="center"/>
        <w:rPr>
          <w:rFonts w:ascii="Times New Roman" w:hAnsi="Times New Roman" w:cs="Times New Roman"/>
          <w:sz w:val="28"/>
          <w:szCs w:val="28"/>
        </w:rPr>
      </w:pP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128270</wp:posOffset>
                </wp:positionV>
                <wp:extent cx="3871595" cy="0"/>
                <wp:effectExtent l="57150" t="38100" r="52705" b="95250"/>
                <wp:wrapNone/>
                <wp:docPr id="4" name="直接连接符 1"/>
                <wp:cNvGraphicFramePr/>
                <a:graphic xmlns:a="http://schemas.openxmlformats.org/drawingml/2006/main">
                  <a:graphicData uri="http://schemas.microsoft.com/office/word/2010/wordprocessingShape">
                    <wps:wsp>
                      <wps:cNvCnPr/>
                      <wps:spPr>
                        <a:xfrm>
                          <a:off x="0" y="0"/>
                          <a:ext cx="3871595" cy="0"/>
                        </a:xfrm>
                        <a:prstGeom prst="line">
                          <a:avLst/>
                        </a:prstGeom>
                        <a:noFill/>
                        <a:ln w="38100" cap="flat" cmpd="sng" algn="ctr">
                          <a:solidFill>
                            <a:srgbClr val="4F81BD"/>
                          </a:solidFill>
                          <a:prstDash val="solid"/>
                          <a:headEnd w="lg" len="lg"/>
                        </a:ln>
                        <a:effectLst>
                          <a:outerShdw blurRad="40000" dist="23000" dir="5400000" rotWithShape="0">
                            <a:srgbClr val="000000">
                              <a:alpha val="35000"/>
                            </a:srgbClr>
                          </a:outerShdw>
                        </a:effectLst>
                      </wps:spPr>
                      <wps:bodyPr/>
                    </wps:wsp>
                  </a:graphicData>
                </a:graphic>
              </wp:anchor>
            </w:drawing>
          </mc:Choice>
          <mc:Fallback>
            <w:pict>
              <v:line id="直接连接符 1" o:spid="_x0000_s1026" o:spt="20" style="position:absolute;left:0pt;margin-left:55.35pt;margin-top:10.1pt;height:0pt;width:304.85pt;z-index:251660288;mso-width-relative:page;mso-height-relative:page;" filled="f" stroked="t" coordsize="21600,21600" o:gfxdata="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gxEB7VAAAACQEAAA8AAAAAAAAAAQAgAAAAIgAAAGRycy9kb3ducmV2Lnht&#10;bFBLAQIUABQAAAAIAIdO4kDCq+eFNQIAAGMEAAAOAAAAAAAAAAEAIAAAACQBAABkcnMvZTJvRG9j&#10;LnhtbFBLBQYAAAAABgAGAFkBAADLBQAAAAA=&#10;">
                <v:fill on="f" focussize="0,0"/>
                <v:stroke weight="3pt" color="#4F81BD" joinstyle="round" startarrowwidth="wide" startarrowlength="long"/>
                <v:imagedata o:title=""/>
                <o:lock v:ext="edit" aspectratio="f"/>
                <v:shadow on="t" color="#000000" opacity="22937f" offset="0pt,1.81102362204724pt" origin="0f,32768f" matrix="65536f,0f,0f,65536f"/>
              </v:line>
            </w:pict>
          </mc:Fallback>
        </mc:AlternateContent>
      </w:r>
    </w:p>
    <w:p w14:paraId="080BC6E0">
      <w:pPr>
        <w:rPr>
          <w:rFonts w:ascii="Times New Roman" w:hAnsi="Times New Roman" w:cs="Times New Roman"/>
          <w:sz w:val="28"/>
          <w:szCs w:val="28"/>
        </w:rPr>
      </w:pPr>
    </w:p>
    <w:p w14:paraId="2431C897">
      <w:pPr>
        <w:ind w:firstLine="560"/>
        <w:rPr>
          <w:rFonts w:ascii="Times New Roman" w:hAnsi="Times New Roman" w:cs="Times New Roman"/>
          <w:sz w:val="28"/>
          <w:szCs w:val="28"/>
        </w:rPr>
      </w:pPr>
    </w:p>
    <w:p w14:paraId="607BC25B">
      <w:pPr>
        <w:ind w:firstLine="560"/>
        <w:rPr>
          <w:rFonts w:ascii="Times New Roman" w:hAnsi="Times New Roman" w:cs="Times New Roman"/>
          <w:sz w:val="28"/>
          <w:szCs w:val="28"/>
        </w:rPr>
      </w:pPr>
    </w:p>
    <w:p w14:paraId="30BC7013">
      <w:pPr>
        <w:ind w:firstLine="560"/>
        <w:rPr>
          <w:rFonts w:ascii="Times New Roman" w:hAnsi="Times New Roman" w:cs="Times New Roman"/>
          <w:sz w:val="28"/>
          <w:szCs w:val="28"/>
        </w:rPr>
      </w:pPr>
    </w:p>
    <w:p w14:paraId="7284545B">
      <w:pPr>
        <w:ind w:firstLine="560"/>
        <w:rPr>
          <w:rFonts w:ascii="Times New Roman" w:hAnsi="Times New Roman" w:cs="Times New Roman"/>
          <w:sz w:val="28"/>
          <w:szCs w:val="28"/>
        </w:rPr>
      </w:pPr>
    </w:p>
    <w:p w14:paraId="0A3A83C0">
      <w:pPr>
        <w:rPr>
          <w:rFonts w:ascii="Times New Roman" w:hAnsi="Times New Roman" w:cs="Times New Roman"/>
          <w:sz w:val="28"/>
          <w:szCs w:val="28"/>
        </w:rPr>
      </w:pPr>
    </w:p>
    <w:p w14:paraId="3116EE32">
      <w:pPr>
        <w:jc w:val="center"/>
        <w:rPr>
          <w:rFonts w:ascii="Times New Roman" w:hAnsi="Times New Roman" w:cs="Times New Roman"/>
          <w:sz w:val="28"/>
          <w:szCs w:val="28"/>
        </w:rPr>
      </w:pPr>
      <w:r>
        <w:rPr>
          <w:rFonts w:ascii="Times New Roman" w:hAnsi="Times New Roman" w:cs="Times New Roman"/>
          <w:sz w:val="28"/>
          <w:szCs w:val="28"/>
        </w:rPr>
        <w:t>《钢铁</w:t>
      </w:r>
      <w:r>
        <w:rPr>
          <w:rFonts w:hint="eastAsia" w:ascii="Times New Roman" w:hAnsi="Times New Roman" w:cs="Times New Roman"/>
          <w:sz w:val="28"/>
          <w:szCs w:val="28"/>
        </w:rPr>
        <w:t>工</w:t>
      </w:r>
      <w:r>
        <w:rPr>
          <w:rFonts w:ascii="Times New Roman" w:hAnsi="Times New Roman" w:cs="Times New Roman"/>
          <w:sz w:val="28"/>
          <w:szCs w:val="28"/>
        </w:rPr>
        <w:t>业大气污染物排放标准》编制组</w:t>
      </w:r>
    </w:p>
    <w:p w14:paraId="220B5B9A">
      <w:pPr>
        <w:jc w:val="center"/>
        <w:rPr>
          <w:rFonts w:ascii="Times New Roman" w:hAnsi="Times New Roman" w:cs="Times New Roman"/>
          <w:sz w:val="28"/>
          <w:szCs w:val="28"/>
        </w:rPr>
        <w:sectPr>
          <w:footerReference r:id="rId3" w:type="default"/>
          <w:pgSz w:w="11906" w:h="16838"/>
          <w:pgMar w:top="1440" w:right="1800" w:bottom="1440" w:left="1800" w:header="851" w:footer="992" w:gutter="0"/>
          <w:cols w:space="425" w:num="1"/>
          <w:docGrid w:type="lines" w:linePitch="312" w:charSpace="0"/>
        </w:sectPr>
      </w:pPr>
      <w:r>
        <w:rPr>
          <w:rFonts w:ascii="Times New Roman" w:hAnsi="Times New Roman" w:cs="Times New Roman"/>
          <w:sz w:val="28"/>
          <w:szCs w:val="28"/>
        </w:rPr>
        <w:t>2026年</w:t>
      </w:r>
      <w:r>
        <w:rPr>
          <w:rFonts w:hint="eastAsia" w:ascii="Times New Roman" w:hAnsi="Times New Roman" w:cs="Times New Roman"/>
          <w:sz w:val="28"/>
          <w:szCs w:val="28"/>
          <w:lang w:val="en-US" w:eastAsia="zh-CN"/>
        </w:rPr>
        <w:t>6</w:t>
      </w:r>
      <w:r>
        <w:rPr>
          <w:rFonts w:ascii="Times New Roman" w:hAnsi="Times New Roman" w:cs="Times New Roman"/>
          <w:sz w:val="28"/>
          <w:szCs w:val="28"/>
        </w:rPr>
        <w:t>月</w:t>
      </w:r>
    </w:p>
    <w:p w14:paraId="4279A88F">
      <w:pPr>
        <w:spacing w:line="360" w:lineRule="auto"/>
        <w:rPr>
          <w:rFonts w:ascii="Times New Roman" w:hAnsi="Times New Roman" w:cs="Times New Roman"/>
        </w:rPr>
      </w:pPr>
      <w:r>
        <w:rPr>
          <w:rFonts w:ascii="Times New Roman" w:hAnsi="Times New Roman" w:eastAsia="黑体" w:cs="Times New Roman"/>
          <w:b/>
          <w:bCs/>
        </w:rPr>
        <w:t>立项批文</w:t>
      </w:r>
      <w:r>
        <w:rPr>
          <w:rFonts w:ascii="Times New Roman" w:hAnsi="Times New Roman" w:eastAsia="黑体" w:cs="Times New Roman"/>
        </w:rPr>
        <w:t>：</w:t>
      </w:r>
      <w:r>
        <w:rPr>
          <w:rFonts w:ascii="Times New Roman" w:hAnsi="Times New Roman" w:cs="Times New Roman"/>
        </w:rPr>
        <w:t>沪市监标技〔202</w:t>
      </w:r>
      <w:r>
        <w:rPr>
          <w:rFonts w:ascii="Times New Roman" w:hAnsi="Times New Roman" w:cs="Times New Roman"/>
          <w:lang w:val="en"/>
        </w:rPr>
        <w:t>3</w:t>
      </w:r>
      <w:r>
        <w:rPr>
          <w:rFonts w:ascii="Times New Roman" w:hAnsi="Times New Roman" w:cs="Times New Roman"/>
        </w:rPr>
        <w:t>〕</w:t>
      </w:r>
      <w:r>
        <w:rPr>
          <w:rFonts w:ascii="Times New Roman" w:hAnsi="Times New Roman" w:cs="Times New Roman"/>
          <w:lang w:val="en"/>
        </w:rPr>
        <w:t>385</w:t>
      </w:r>
      <w:r>
        <w:rPr>
          <w:rFonts w:ascii="Times New Roman" w:hAnsi="Times New Roman" w:cs="Times New Roman"/>
        </w:rPr>
        <w:t xml:space="preserve">号 </w:t>
      </w:r>
    </w:p>
    <w:p w14:paraId="0FF28CDB">
      <w:pPr>
        <w:spacing w:line="360" w:lineRule="auto"/>
        <w:ind w:left="1446" w:hanging="1446" w:hangingChars="600"/>
        <w:rPr>
          <w:rFonts w:ascii="Times New Roman" w:hAnsi="Times New Roman" w:cs="Times New Roman"/>
        </w:rPr>
      </w:pPr>
      <w:r>
        <w:rPr>
          <w:rFonts w:ascii="Times New Roman" w:hAnsi="Times New Roman" w:eastAsia="黑体" w:cs="Times New Roman"/>
          <w:b/>
          <w:bCs/>
        </w:rPr>
        <w:t>联合编制组：</w:t>
      </w:r>
      <w:r>
        <w:rPr>
          <w:rFonts w:ascii="Times New Roman" w:hAnsi="Times New Roman" w:cs="Times New Roman"/>
        </w:rPr>
        <w:t>上海市环境监测中心、宝山钢铁股份有限公司</w:t>
      </w:r>
      <w:r>
        <w:rPr>
          <w:rFonts w:hint="eastAsia" w:ascii="Times New Roman" w:hAnsi="Times New Roman"/>
        </w:rPr>
        <w:t>、上海市</w:t>
      </w:r>
      <w:r>
        <w:rPr>
          <w:rFonts w:ascii="Times New Roman" w:hAnsi="Times New Roman"/>
        </w:rPr>
        <w:t>环境</w:t>
      </w:r>
      <w:r>
        <w:rPr>
          <w:rFonts w:hint="eastAsia" w:ascii="Times New Roman" w:hAnsi="Times New Roman"/>
        </w:rPr>
        <w:t>科学</w:t>
      </w:r>
      <w:r>
        <w:rPr>
          <w:rFonts w:ascii="Times New Roman" w:hAnsi="Times New Roman"/>
        </w:rPr>
        <w:t>研究院</w:t>
      </w:r>
      <w:r>
        <w:rPr>
          <w:rFonts w:hint="eastAsia" w:ascii="Times New Roman" w:hAnsi="Times New Roman"/>
        </w:rPr>
        <w:t>、上海金艺检测技术有限公司</w:t>
      </w:r>
    </w:p>
    <w:p w14:paraId="7DFD6272">
      <w:pPr>
        <w:spacing w:line="360" w:lineRule="auto"/>
        <w:rPr>
          <w:rFonts w:ascii="Times New Roman" w:hAnsi="Times New Roman" w:cs="Times New Roman"/>
          <w:sz w:val="28"/>
          <w:szCs w:val="28"/>
        </w:rPr>
      </w:pPr>
      <w:r>
        <w:rPr>
          <w:rFonts w:ascii="Times New Roman" w:hAnsi="Times New Roman" w:eastAsia="黑体" w:cs="Times New Roman"/>
          <w:b/>
          <w:bCs/>
        </w:rPr>
        <w:t>编制人员：</w:t>
      </w:r>
      <w:r>
        <w:rPr>
          <w:rFonts w:ascii="Times New Roman" w:hAnsi="Times New Roman" w:cs="Times New Roman"/>
        </w:rPr>
        <w:t xml:space="preserve"> </w:t>
      </w:r>
    </w:p>
    <w:p w14:paraId="0A3CAA22">
      <w:pPr>
        <w:jc w:val="center"/>
        <w:rPr>
          <w:rFonts w:ascii="Times New Roman" w:hAnsi="Times New Roman" w:cs="Times New Roman"/>
          <w:sz w:val="28"/>
          <w:szCs w:val="28"/>
        </w:rPr>
        <w:sectPr>
          <w:pgSz w:w="11906" w:h="16838"/>
          <w:pgMar w:top="1440" w:right="1800" w:bottom="1440" w:left="1800" w:header="851" w:footer="992" w:gutter="0"/>
          <w:cols w:space="425" w:num="1"/>
          <w:docGrid w:type="lines" w:linePitch="312" w:charSpace="0"/>
        </w:sectPr>
      </w:pPr>
    </w:p>
    <w:sdt>
      <w:sdtPr>
        <w:rPr>
          <w:rFonts w:ascii="Times New Roman" w:hAnsi="Times New Roman" w:eastAsia="宋体" w:cs="Times New Roman"/>
          <w:b w:val="0"/>
          <w:bCs w:val="0"/>
          <w:color w:val="auto"/>
          <w:kern w:val="2"/>
          <w:sz w:val="21"/>
          <w:szCs w:val="22"/>
          <w:lang w:val="zh-CN"/>
        </w:rPr>
        <w:id w:val="33555872"/>
        <w:docPartObj>
          <w:docPartGallery w:val="Table of Contents"/>
          <w:docPartUnique/>
        </w:docPartObj>
      </w:sdtPr>
      <w:sdtEndPr>
        <w:rPr>
          <w:rFonts w:ascii="Times New Roman" w:hAnsi="Times New Roman" w:eastAsia="宋体" w:cs="Times New Roman"/>
          <w:b w:val="0"/>
          <w:bCs w:val="0"/>
          <w:color w:val="auto"/>
          <w:kern w:val="0"/>
          <w:sz w:val="24"/>
          <w:szCs w:val="24"/>
          <w:lang w:val="zh-CN"/>
        </w:rPr>
      </w:sdtEndPr>
      <w:sdtContent>
        <w:p w14:paraId="0DBA2160">
          <w:pPr>
            <w:pStyle w:val="62"/>
            <w:jc w:val="center"/>
            <w:rPr>
              <w:rFonts w:ascii="Times New Roman" w:hAnsi="Times New Roman" w:eastAsia="宋体" w:cs="Times New Roman"/>
              <w:color w:val="auto"/>
            </w:rPr>
          </w:pPr>
          <w:r>
            <w:rPr>
              <w:rFonts w:ascii="Times New Roman" w:hAnsi="Times New Roman" w:eastAsia="宋体" w:cs="Times New Roman"/>
              <w:color w:val="auto"/>
              <w:lang w:val="zh-CN"/>
            </w:rPr>
            <w:t>目  录</w:t>
          </w:r>
        </w:p>
        <w:p w14:paraId="093B6651">
          <w:pPr>
            <w:pStyle w:val="19"/>
            <w:tabs>
              <w:tab w:val="right" w:leader="dot" w:pos="8296"/>
            </w:tabs>
            <w:rPr>
              <w:rFonts w:ascii="Times New Roman" w:hAnsi="Times New Roman" w:cs="Times New Roman" w:eastAsiaTheme="minorEastAsia"/>
              <w:kern w:val="2"/>
              <w:sz w:val="21"/>
              <w:szCs w:val="22"/>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"_Toc217058275" </w:instrText>
          </w:r>
          <w:r>
            <w:fldChar w:fldCharType="separate"/>
          </w:r>
          <w:r>
            <w:rPr>
              <w:rStyle w:val="32"/>
              <w:rFonts w:ascii="Times New Roman" w:hAnsi="Times New Roman" w:cs="Times New Roman"/>
            </w:rPr>
            <w:t>1 项目背景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_Toc217058275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2FED519E">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"_Toc217058276" </w:instrText>
          </w:r>
          <w:r>
            <w:fldChar w:fldCharType="separate"/>
          </w:r>
          <w:r>
            <w:rPr>
              <w:rStyle w:val="32"/>
              <w:rFonts w:ascii="Times New Roman" w:hAnsi="Times New Roman" w:cs="Times New Roman"/>
            </w:rPr>
            <w:t>1.1 任务来源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_Toc217058276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66934BBC">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"_Toc217058277" </w:instrText>
          </w:r>
          <w:r>
            <w:fldChar w:fldCharType="separate"/>
          </w:r>
          <w:r>
            <w:rPr>
              <w:rStyle w:val="32"/>
              <w:rFonts w:ascii="Times New Roman" w:hAnsi="Times New Roman" w:cs="Times New Roman"/>
            </w:rPr>
            <w:t>1.2 标准编制组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_Toc217058277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416C5E0E">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"_Toc217058278" </w:instrText>
          </w:r>
          <w:r>
            <w:fldChar w:fldCharType="separate"/>
          </w:r>
          <w:r>
            <w:rPr>
              <w:rStyle w:val="32"/>
              <w:rFonts w:ascii="Times New Roman" w:hAnsi="Times New Roman" w:cs="Times New Roman"/>
            </w:rPr>
            <w:t>1.3 主要工作过程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_Toc217058278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7298C6AB">
          <w:pPr>
            <w:pStyle w:val="19"/>
            <w:tabs>
              <w:tab w:val="right" w:leader="dot" w:pos="8296"/>
            </w:tabs>
            <w:rPr>
              <w:rFonts w:ascii="Times New Roman" w:hAnsi="Times New Roman" w:cs="Times New Roman" w:eastAsiaTheme="minorEastAsia"/>
              <w:kern w:val="2"/>
              <w:sz w:val="21"/>
              <w:szCs w:val="22"/>
            </w:rPr>
          </w:pPr>
          <w:r>
            <w:fldChar w:fldCharType="begin"/>
          </w:r>
          <w:r>
            <w:instrText xml:space="preserve"> HYPERLINK \l "_Toc217058279" </w:instrText>
          </w:r>
          <w:r>
            <w:fldChar w:fldCharType="separate"/>
          </w:r>
          <w:r>
            <w:rPr>
              <w:rStyle w:val="32"/>
              <w:rFonts w:ascii="Times New Roman" w:hAnsi="Times New Roman" w:cs="Times New Roman"/>
            </w:rPr>
            <w:t>2 标准修订的必要性、原则及思路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_Toc217058279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600B77EF">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"_Toc217058280" </w:instrText>
          </w:r>
          <w:r>
            <w:fldChar w:fldCharType="separate"/>
          </w:r>
          <w:r>
            <w:rPr>
              <w:rStyle w:val="32"/>
              <w:rFonts w:ascii="Times New Roman" w:hAnsi="Times New Roman" w:cs="Times New Roman"/>
            </w:rPr>
            <w:t>2.1 必要性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5351D719">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"_Toc217058281" </w:instrText>
          </w:r>
          <w:r>
            <w:fldChar w:fldCharType="separate"/>
          </w:r>
          <w:r>
            <w:rPr>
              <w:rStyle w:val="32"/>
              <w:rFonts w:ascii="Times New Roman" w:hAnsi="Times New Roman" w:cs="Times New Roman"/>
            </w:rPr>
            <w:t>2.2 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_Toc217058281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100EF01E">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"_Toc217058282" </w:instrText>
          </w:r>
          <w:r>
            <w:fldChar w:fldCharType="separate"/>
          </w:r>
          <w:r>
            <w:rPr>
              <w:rStyle w:val="32"/>
              <w:rFonts w:ascii="Times New Roman" w:hAnsi="Times New Roman" w:cs="Times New Roman"/>
            </w:rPr>
            <w:t>2.3 思路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_Toc217058282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5B1E8AB1">
          <w:pPr>
            <w:pStyle w:val="19"/>
            <w:tabs>
              <w:tab w:val="right" w:leader="dot" w:pos="8296"/>
            </w:tabs>
            <w:rPr>
              <w:rFonts w:ascii="Times New Roman" w:hAnsi="Times New Roman" w:cs="Times New Roman" w:eastAsiaTheme="minorEastAsia"/>
              <w:kern w:val="2"/>
              <w:sz w:val="21"/>
              <w:szCs w:val="22"/>
            </w:rPr>
          </w:pPr>
          <w:r>
            <w:fldChar w:fldCharType="begin"/>
          </w:r>
          <w:r>
            <w:instrText xml:space="preserve"> HYPERLINK \l "_Toc217058283" </w:instrText>
          </w:r>
          <w:r>
            <w:fldChar w:fldCharType="separate"/>
          </w:r>
          <w:r>
            <w:rPr>
              <w:rStyle w:val="32"/>
              <w:rFonts w:ascii="Times New Roman" w:hAnsi="Times New Roman" w:cs="Times New Roman"/>
            </w:rPr>
            <w:t>3 本市钢铁行业发展现状及趋势分析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_Toc217058283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14:paraId="37B093EE">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"_Toc217058284" </w:instrText>
          </w:r>
          <w:r>
            <w:fldChar w:fldCharType="separate"/>
          </w:r>
          <w:r>
            <w:rPr>
              <w:rStyle w:val="32"/>
              <w:rFonts w:ascii="Times New Roman" w:hAnsi="Times New Roman" w:cs="Times New Roman"/>
            </w:rPr>
            <w:t>3.1 本市钢铁行业概况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_Toc217058284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14:paraId="73107604">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"_Toc217058285" </w:instrText>
          </w:r>
          <w:r>
            <w:fldChar w:fldCharType="separate"/>
          </w:r>
          <w:r>
            <w:rPr>
              <w:rStyle w:val="32"/>
              <w:rFonts w:ascii="Times New Roman" w:hAnsi="Times New Roman" w:cs="Times New Roman"/>
            </w:rPr>
            <w:t>3.2 本市钢铁行业发展趋势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_Toc217058285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14:paraId="73D489EF">
          <w:pPr>
            <w:pStyle w:val="19"/>
            <w:tabs>
              <w:tab w:val="right" w:leader="dot" w:pos="8296"/>
            </w:tabs>
            <w:rPr>
              <w:rFonts w:ascii="Times New Roman" w:hAnsi="Times New Roman" w:cs="Times New Roman" w:eastAsiaTheme="minorEastAsia"/>
              <w:kern w:val="2"/>
              <w:sz w:val="21"/>
              <w:szCs w:val="22"/>
            </w:rPr>
          </w:pPr>
          <w:r>
            <w:fldChar w:fldCharType="begin"/>
          </w:r>
          <w:r>
            <w:instrText xml:space="preserve"> HYPERLINK \l "_Toc217058286" </w:instrText>
          </w:r>
          <w:r>
            <w:fldChar w:fldCharType="separate"/>
          </w:r>
          <w:r>
            <w:rPr>
              <w:rStyle w:val="32"/>
              <w:rFonts w:ascii="Times New Roman" w:hAnsi="Times New Roman" w:cs="Times New Roman"/>
            </w:rPr>
            <w:t>4 国内外相关标准及污染物控制技术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_Toc217058286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5AABBD97">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"_Toc217058287" </w:instrText>
          </w:r>
          <w:r>
            <w:fldChar w:fldCharType="separate"/>
          </w:r>
          <w:r>
            <w:rPr>
              <w:rStyle w:val="32"/>
              <w:rFonts w:ascii="Times New Roman" w:hAnsi="Times New Roman" w:cs="Times New Roman"/>
            </w:rPr>
            <w:t>4.1 美国、欧盟、日本标准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_Toc217058287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707EBF55">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"_Toc217058288" </w:instrText>
          </w:r>
          <w:r>
            <w:fldChar w:fldCharType="separate"/>
          </w:r>
          <w:r>
            <w:rPr>
              <w:rStyle w:val="32"/>
              <w:rFonts w:ascii="Times New Roman" w:hAnsi="Times New Roman" w:cs="Times New Roman"/>
            </w:rPr>
            <w:t>4.2 其他省份标准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_Toc217058288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14:paraId="784A7278">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"_Toc217058289" </w:instrText>
          </w:r>
          <w:r>
            <w:fldChar w:fldCharType="separate"/>
          </w:r>
          <w:r>
            <w:rPr>
              <w:rStyle w:val="32"/>
              <w:rFonts w:ascii="Times New Roman" w:hAnsi="Times New Roman" w:cs="Times New Roman"/>
            </w:rPr>
            <w:t>4.3 行业产排污现状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_Toc217058289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14:paraId="6691C64D">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"_Toc217058290" </w:instrText>
          </w:r>
          <w:r>
            <w:fldChar w:fldCharType="separate"/>
          </w:r>
          <w:r>
            <w:rPr>
              <w:rStyle w:val="32"/>
              <w:rFonts w:ascii="Times New Roman" w:hAnsi="Times New Roman" w:cs="Times New Roman"/>
            </w:rPr>
            <w:t>4.4 钢铁行业污染物控制技术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_Toc217058290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14:paraId="6AEFC236">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"_Toc217058291" </w:instrText>
          </w:r>
          <w:r>
            <w:fldChar w:fldCharType="separate"/>
          </w:r>
          <w:r>
            <w:rPr>
              <w:rStyle w:val="32"/>
              <w:rFonts w:ascii="Times New Roman" w:hAnsi="Times New Roman" w:cs="Times New Roman"/>
            </w:rPr>
            <w:t>4.4.1 源头防治措施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_Toc217058291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14:paraId="1EAA37B7">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"_Toc217058292" </w:instrText>
          </w:r>
          <w:r>
            <w:fldChar w:fldCharType="separate"/>
          </w:r>
          <w:r>
            <w:rPr>
              <w:rStyle w:val="32"/>
              <w:rFonts w:ascii="Times New Roman" w:hAnsi="Times New Roman" w:cs="Times New Roman"/>
            </w:rPr>
            <w:t>4.4.2 颗粒物治理技术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_Toc217058292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14:paraId="4E90EF04">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"_Toc217058293" </w:instrText>
          </w:r>
          <w:r>
            <w:fldChar w:fldCharType="separate"/>
          </w:r>
          <w:r>
            <w:rPr>
              <w:rStyle w:val="32"/>
              <w:rFonts w:ascii="Times New Roman" w:hAnsi="Times New Roman" w:cs="Times New Roman"/>
            </w:rPr>
            <w:t>4.4.3 二氧化硫治理技术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_Toc217058293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1A61B6E4">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"_Toc217058294" </w:instrText>
          </w:r>
          <w:r>
            <w:fldChar w:fldCharType="separate"/>
          </w:r>
          <w:r>
            <w:rPr>
              <w:rStyle w:val="32"/>
              <w:rFonts w:ascii="Times New Roman" w:hAnsi="Times New Roman" w:cs="Times New Roman"/>
            </w:rPr>
            <w:t>4.4.4 氮氧化物治理技术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_Toc217058294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28F48785">
          <w:pPr>
            <w:pStyle w:val="19"/>
            <w:tabs>
              <w:tab w:val="right" w:leader="dot" w:pos="8296"/>
            </w:tabs>
            <w:rPr>
              <w:rFonts w:ascii="Times New Roman" w:hAnsi="Times New Roman" w:cs="Times New Roman" w:eastAsiaTheme="minorEastAsia"/>
              <w:kern w:val="2"/>
              <w:sz w:val="21"/>
              <w:szCs w:val="22"/>
            </w:rPr>
          </w:pPr>
          <w:r>
            <w:fldChar w:fldCharType="begin"/>
          </w:r>
          <w:r>
            <w:instrText xml:space="preserve"> HYPERLINK \l "_Toc217058295" </w:instrText>
          </w:r>
          <w:r>
            <w:fldChar w:fldCharType="separate"/>
          </w:r>
          <w:r>
            <w:rPr>
              <w:rStyle w:val="32"/>
              <w:rFonts w:ascii="Times New Roman" w:hAnsi="Times New Roman" w:cs="Times New Roman"/>
            </w:rPr>
            <w:t>5 标准主要技术内容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_Toc217058295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7A19FB91">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"_Toc217058296" </w:instrText>
          </w:r>
          <w:r>
            <w:fldChar w:fldCharType="separate"/>
          </w:r>
          <w:r>
            <w:rPr>
              <w:rStyle w:val="32"/>
              <w:rFonts w:ascii="Times New Roman" w:hAnsi="Times New Roman" w:cs="Times New Roman"/>
            </w:rPr>
            <w:t>5.1 标准内容框架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_Toc217058296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0C6B94E5">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"_Toc217058297" </w:instrText>
          </w:r>
          <w:r>
            <w:fldChar w:fldCharType="separate"/>
          </w:r>
          <w:r>
            <w:rPr>
              <w:rStyle w:val="32"/>
              <w:rFonts w:ascii="Times New Roman" w:hAnsi="Times New Roman" w:cs="Times New Roman"/>
            </w:rPr>
            <w:t>5.1.1标准适用范围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_Toc217058297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14:paraId="5783F3A8">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"_Toc217058298" </w:instrText>
          </w:r>
          <w:r>
            <w:fldChar w:fldCharType="separate"/>
          </w:r>
          <w:r>
            <w:rPr>
              <w:rStyle w:val="32"/>
              <w:rFonts w:ascii="Times New Roman" w:hAnsi="Times New Roman" w:cs="Times New Roman"/>
            </w:rPr>
            <w:t>5.1.2标准控制分类和控制因子的确定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_Toc217058298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14:paraId="635D4482">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"_Toc217058299" </w:instrText>
          </w:r>
          <w:r>
            <w:fldChar w:fldCharType="separate"/>
          </w:r>
          <w:r>
            <w:rPr>
              <w:rStyle w:val="32"/>
              <w:rFonts w:ascii="Times New Roman" w:hAnsi="Times New Roman" w:cs="Times New Roman"/>
            </w:rPr>
            <w:t>5.1.3标准执行时间与限值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_Toc217058299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14:paraId="64989D99">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"_Toc217058300" </w:instrText>
          </w:r>
          <w:r>
            <w:fldChar w:fldCharType="separate"/>
          </w:r>
          <w:r>
            <w:rPr>
              <w:rStyle w:val="32"/>
              <w:rFonts w:ascii="Times New Roman" w:hAnsi="Times New Roman" w:cs="Times New Roman"/>
            </w:rPr>
            <w:t>5.2术语和定义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_Toc217058300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0BC64535">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"_Toc217058301" </w:instrText>
          </w:r>
          <w:r>
            <w:fldChar w:fldCharType="separate"/>
          </w:r>
          <w:r>
            <w:rPr>
              <w:rStyle w:val="32"/>
              <w:rFonts w:ascii="Times New Roman" w:hAnsi="Times New Roman" w:cs="Times New Roman"/>
            </w:rPr>
            <w:t>5.2 有组织标准限值的确定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_Toc217058301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14:paraId="69EF70D4">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"_Toc217058302" </w:instrText>
          </w:r>
          <w:r>
            <w:fldChar w:fldCharType="separate"/>
          </w:r>
          <w:r>
            <w:rPr>
              <w:rStyle w:val="32"/>
              <w:rFonts w:ascii="Times New Roman" w:hAnsi="Times New Roman" w:cs="Times New Roman"/>
            </w:rPr>
            <w:t>5.2.1 颗粒物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_Toc217058302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14:paraId="2ABCDBA8">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"_Toc217058303" </w:instrText>
          </w:r>
          <w:r>
            <w:fldChar w:fldCharType="separate"/>
          </w:r>
          <w:r>
            <w:rPr>
              <w:rStyle w:val="32"/>
              <w:rFonts w:ascii="Times New Roman" w:hAnsi="Times New Roman" w:cs="Times New Roman"/>
            </w:rPr>
            <w:t>5.2.2 二氧化硫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_Toc217058303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14:paraId="4F3BCD3B">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"_Toc217058304" </w:instrText>
          </w:r>
          <w:r>
            <w:fldChar w:fldCharType="separate"/>
          </w:r>
          <w:r>
            <w:rPr>
              <w:rStyle w:val="32"/>
              <w:rFonts w:ascii="Times New Roman" w:hAnsi="Times New Roman" w:cs="Times New Roman"/>
            </w:rPr>
            <w:t>5.2.3 氮氧化物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_Toc217058304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14:paraId="3AE1CB5A">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"_Toc217058305" </w:instrText>
          </w:r>
          <w:r>
            <w:fldChar w:fldCharType="separate"/>
          </w:r>
          <w:r>
            <w:rPr>
              <w:rStyle w:val="32"/>
              <w:rFonts w:ascii="Times New Roman" w:hAnsi="Times New Roman" w:cs="Times New Roman"/>
            </w:rPr>
            <w:t>5.2.4 重金属及其他特征污染物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_Toc217058305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14:paraId="284EFF86">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"_Toc217058306" </w:instrText>
          </w:r>
          <w:r>
            <w:fldChar w:fldCharType="separate"/>
          </w:r>
          <w:r>
            <w:rPr>
              <w:rStyle w:val="32"/>
              <w:rFonts w:ascii="Times New Roman" w:hAnsi="Times New Roman" w:cs="Times New Roman"/>
            </w:rPr>
            <w:t>5.2.5 基准氧含量的确定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_Toc217058306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fldChar w:fldCharType="end"/>
          </w:r>
        </w:p>
        <w:p w14:paraId="07405DE0">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"_Toc217058307" </w:instrText>
          </w:r>
          <w:r>
            <w:fldChar w:fldCharType="separate"/>
          </w:r>
          <w:r>
            <w:rPr>
              <w:rStyle w:val="32"/>
              <w:rFonts w:ascii="Times New Roman" w:hAnsi="Times New Roman" w:cs="Times New Roman"/>
            </w:rPr>
            <w:t>5.3无组织排放控制要求的确定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_Toc217058307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14:paraId="40C90BB4">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"_Toc217058308" </w:instrText>
          </w:r>
          <w:r>
            <w:fldChar w:fldCharType="separate"/>
          </w:r>
          <w:r>
            <w:rPr>
              <w:rStyle w:val="32"/>
              <w:rFonts w:ascii="Times New Roman" w:hAnsi="Times New Roman" w:cs="Times New Roman"/>
            </w:rPr>
            <w:t>5.3.1 无组织排放控制措施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_Toc217058308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14:paraId="16ABE54A">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"_Toc217058309" </w:instrText>
          </w:r>
          <w:r>
            <w:fldChar w:fldCharType="separate"/>
          </w:r>
          <w:r>
            <w:rPr>
              <w:rStyle w:val="32"/>
              <w:rFonts w:ascii="Times New Roman" w:hAnsi="Times New Roman" w:cs="Times New Roman"/>
            </w:rPr>
            <w:t>5.3.2 无组织排放大气污染物浓度限值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_Toc217058309 \h </w:instrText>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r>
            <w:rPr>
              <w:rFonts w:ascii="Times New Roman" w:hAnsi="Times New Roman" w:cs="Times New Roman"/>
            </w:rPr>
            <w:fldChar w:fldCharType="end"/>
          </w:r>
        </w:p>
        <w:p w14:paraId="24E85287">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"_Toc217058310" </w:instrText>
          </w:r>
          <w:r>
            <w:fldChar w:fldCharType="separate"/>
          </w:r>
          <w:r>
            <w:rPr>
              <w:rStyle w:val="32"/>
              <w:rFonts w:ascii="Times New Roman" w:hAnsi="Times New Roman" w:cs="Times New Roman"/>
            </w:rPr>
            <w:t>5.3标准的其他管理规定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_Toc217058310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14:paraId="17553E00">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"_Toc217058311" </w:instrText>
          </w:r>
          <w:r>
            <w:fldChar w:fldCharType="separate"/>
          </w:r>
          <w:r>
            <w:rPr>
              <w:rStyle w:val="32"/>
              <w:rFonts w:ascii="Times New Roman" w:hAnsi="Times New Roman" w:cs="Times New Roman"/>
            </w:rPr>
            <w:t>5.4 污染物监测要求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_Toc217058311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14:paraId="528AC8FB">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"_Toc217058312" </w:instrText>
          </w:r>
          <w:r>
            <w:fldChar w:fldCharType="separate"/>
          </w:r>
          <w:r>
            <w:rPr>
              <w:rStyle w:val="32"/>
              <w:rFonts w:ascii="Times New Roman" w:hAnsi="Times New Roman" w:cs="Times New Roman"/>
            </w:rPr>
            <w:t>5.4.1监测一般要求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_Toc217058312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14:paraId="3FD8833D">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"_Toc217058313" </w:instrText>
          </w:r>
          <w:r>
            <w:fldChar w:fldCharType="separate"/>
          </w:r>
          <w:r>
            <w:rPr>
              <w:rStyle w:val="32"/>
              <w:rFonts w:ascii="Times New Roman" w:hAnsi="Times New Roman" w:cs="Times New Roman"/>
            </w:rPr>
            <w:t>5.4.2监测采样与分析方法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_Toc217058313 \h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14:paraId="474A903F">
          <w:pPr>
            <w:pStyle w:val="12"/>
            <w:tabs>
              <w:tab w:val="right" w:leader="dot" w:pos="8296"/>
            </w:tabs>
            <w:ind w:left="960"/>
            <w:rPr>
              <w:rFonts w:ascii="Times New Roman" w:hAnsi="Times New Roman" w:cs="Times New Roman" w:eastAsiaTheme="minorEastAsia"/>
              <w:kern w:val="2"/>
              <w:sz w:val="21"/>
              <w:szCs w:val="22"/>
            </w:rPr>
          </w:pPr>
          <w:r>
            <w:fldChar w:fldCharType="begin"/>
          </w:r>
          <w:r>
            <w:instrText xml:space="preserve"> HYPERLINK \l "_Toc217058314" </w:instrText>
          </w:r>
          <w:r>
            <w:fldChar w:fldCharType="separate"/>
          </w:r>
          <w:r>
            <w:rPr>
              <w:rStyle w:val="32"/>
              <w:rFonts w:ascii="Times New Roman" w:hAnsi="Times New Roman" w:cs="Times New Roman"/>
            </w:rPr>
            <w:t>5.4.3达标判定要求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_Toc217058314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14:paraId="55D1EBCA">
          <w:pPr>
            <w:pStyle w:val="19"/>
            <w:tabs>
              <w:tab w:val="right" w:leader="dot" w:pos="8296"/>
            </w:tabs>
            <w:rPr>
              <w:rFonts w:ascii="Times New Roman" w:hAnsi="Times New Roman" w:cs="Times New Roman" w:eastAsiaTheme="minorEastAsia"/>
              <w:kern w:val="2"/>
              <w:sz w:val="21"/>
              <w:szCs w:val="22"/>
            </w:rPr>
          </w:pPr>
          <w:r>
            <w:fldChar w:fldCharType="begin"/>
          </w:r>
          <w:r>
            <w:instrText xml:space="preserve"> HYPERLINK \l "_Toc217058315" </w:instrText>
          </w:r>
          <w:r>
            <w:fldChar w:fldCharType="separate"/>
          </w:r>
          <w:r>
            <w:rPr>
              <w:rStyle w:val="32"/>
              <w:rFonts w:ascii="Times New Roman" w:hAnsi="Times New Roman" w:cs="Times New Roman"/>
            </w:rPr>
            <w:t>6 本标准限值及国内外相关限值的比较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_Toc217058315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14:paraId="17A01E31">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"_Toc217058316" </w:instrText>
          </w:r>
          <w:r>
            <w:fldChar w:fldCharType="separate"/>
          </w:r>
          <w:r>
            <w:rPr>
              <w:rStyle w:val="32"/>
              <w:rFonts w:ascii="Times New Roman" w:hAnsi="Times New Roman" w:cs="Times New Roman"/>
            </w:rPr>
            <w:t>6.1 烧结（球团）工序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_Toc217058316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14:paraId="6F75A349">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"_Toc217058317" </w:instrText>
          </w:r>
          <w:r>
            <w:fldChar w:fldCharType="separate"/>
          </w:r>
          <w:r>
            <w:rPr>
              <w:rStyle w:val="32"/>
              <w:rFonts w:ascii="Times New Roman" w:hAnsi="Times New Roman" w:cs="Times New Roman"/>
            </w:rPr>
            <w:t>6.2 焦化工序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_Toc217058317 \h </w:instrText>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r>
            <w:rPr>
              <w:rFonts w:ascii="Times New Roman" w:hAnsi="Times New Roman" w:cs="Times New Roman"/>
            </w:rPr>
            <w:fldChar w:fldCharType="end"/>
          </w:r>
        </w:p>
        <w:p w14:paraId="5D1BBED6">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"_Toc217058318" </w:instrText>
          </w:r>
          <w:r>
            <w:fldChar w:fldCharType="separate"/>
          </w:r>
          <w:r>
            <w:rPr>
              <w:rStyle w:val="32"/>
              <w:rFonts w:ascii="Times New Roman" w:hAnsi="Times New Roman" w:cs="Times New Roman"/>
            </w:rPr>
            <w:t>6.3 炼铁工序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_Toc217058318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14:paraId="730855B7">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"_Toc217058319" </w:instrText>
          </w:r>
          <w:r>
            <w:fldChar w:fldCharType="separate"/>
          </w:r>
          <w:r>
            <w:rPr>
              <w:rStyle w:val="32"/>
              <w:rFonts w:ascii="Times New Roman" w:hAnsi="Times New Roman" w:cs="Times New Roman"/>
            </w:rPr>
            <w:t>6.4 炼钢工序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_Toc217058319 \h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r>
            <w:rPr>
              <w:rFonts w:ascii="Times New Roman" w:hAnsi="Times New Roman" w:cs="Times New Roman"/>
            </w:rPr>
            <w:fldChar w:fldCharType="end"/>
          </w:r>
        </w:p>
        <w:p w14:paraId="4474EB58">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"_Toc217058320" </w:instrText>
          </w:r>
          <w:r>
            <w:fldChar w:fldCharType="separate"/>
          </w:r>
          <w:r>
            <w:rPr>
              <w:rStyle w:val="32"/>
              <w:rFonts w:ascii="Times New Roman" w:hAnsi="Times New Roman" w:cs="Times New Roman"/>
            </w:rPr>
            <w:t>6.5 轧钢工序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_Toc217058320 \h </w:instrText>
          </w:r>
          <w:r>
            <w:rPr>
              <w:rFonts w:ascii="Times New Roman" w:hAnsi="Times New Roman" w:cs="Times New Roman"/>
            </w:rPr>
            <w:fldChar w:fldCharType="separate"/>
          </w:r>
          <w:r>
            <w:rPr>
              <w:rFonts w:ascii="Times New Roman" w:hAnsi="Times New Roman" w:cs="Times New Roman"/>
            </w:rPr>
            <w:t>74</w:t>
          </w:r>
          <w:r>
            <w:rPr>
              <w:rFonts w:ascii="Times New Roman" w:hAnsi="Times New Roman" w:cs="Times New Roman"/>
            </w:rPr>
            <w:fldChar w:fldCharType="end"/>
          </w:r>
          <w:r>
            <w:rPr>
              <w:rFonts w:ascii="Times New Roman" w:hAnsi="Times New Roman" w:cs="Times New Roman"/>
            </w:rPr>
            <w:fldChar w:fldCharType="end"/>
          </w:r>
        </w:p>
        <w:p w14:paraId="75F479AF">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"_Toc217058321" </w:instrText>
          </w:r>
          <w:r>
            <w:fldChar w:fldCharType="separate"/>
          </w:r>
          <w:r>
            <w:rPr>
              <w:rStyle w:val="32"/>
              <w:rFonts w:ascii="Times New Roman" w:hAnsi="Times New Roman" w:cs="Times New Roman"/>
            </w:rPr>
            <w:t>6.6 无组织排放限值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_Toc217058321 \h </w:instrText>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r>
            <w:rPr>
              <w:rFonts w:ascii="Times New Roman" w:hAnsi="Times New Roman" w:cs="Times New Roman"/>
            </w:rPr>
            <w:fldChar w:fldCharType="end"/>
          </w:r>
        </w:p>
        <w:p w14:paraId="5258E8A4">
          <w:pPr>
            <w:pStyle w:val="19"/>
            <w:tabs>
              <w:tab w:val="right" w:leader="dot" w:pos="8296"/>
            </w:tabs>
            <w:rPr>
              <w:rFonts w:ascii="Times New Roman" w:hAnsi="Times New Roman" w:cs="Times New Roman" w:eastAsiaTheme="minorEastAsia"/>
              <w:kern w:val="2"/>
              <w:sz w:val="21"/>
              <w:szCs w:val="22"/>
            </w:rPr>
          </w:pPr>
          <w:r>
            <w:fldChar w:fldCharType="begin"/>
          </w:r>
          <w:r>
            <w:instrText xml:space="preserve"> HYPERLINK \l "_Toc217058322" </w:instrText>
          </w:r>
          <w:r>
            <w:fldChar w:fldCharType="separate"/>
          </w:r>
          <w:r>
            <w:rPr>
              <w:rStyle w:val="32"/>
              <w:rFonts w:ascii="Times New Roman" w:hAnsi="Times New Roman" w:cs="Times New Roman"/>
            </w:rPr>
            <w:t>7 标准实行的环境效益分析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_Toc217058322 \h </w:instrText>
          </w:r>
          <w:r>
            <w:rPr>
              <w:rFonts w:ascii="Times New Roman" w:hAnsi="Times New Roman" w:cs="Times New Roman"/>
            </w:rPr>
            <w:fldChar w:fldCharType="separate"/>
          </w:r>
          <w:r>
            <w:rPr>
              <w:rFonts w:ascii="Times New Roman" w:hAnsi="Times New Roman" w:cs="Times New Roman"/>
            </w:rPr>
            <w:t>76</w:t>
          </w:r>
          <w:r>
            <w:rPr>
              <w:rFonts w:ascii="Times New Roman" w:hAnsi="Times New Roman" w:cs="Times New Roman"/>
            </w:rPr>
            <w:fldChar w:fldCharType="end"/>
          </w:r>
          <w:r>
            <w:rPr>
              <w:rFonts w:ascii="Times New Roman" w:hAnsi="Times New Roman" w:cs="Times New Roman"/>
            </w:rPr>
            <w:fldChar w:fldCharType="end"/>
          </w:r>
        </w:p>
        <w:p w14:paraId="48741CA9">
          <w:pPr>
            <w:pStyle w:val="19"/>
            <w:tabs>
              <w:tab w:val="right" w:leader="dot" w:pos="8296"/>
            </w:tabs>
            <w:rPr>
              <w:rFonts w:ascii="Times New Roman" w:hAnsi="Times New Roman" w:cs="Times New Roman" w:eastAsiaTheme="minorEastAsia"/>
              <w:kern w:val="2"/>
              <w:sz w:val="21"/>
              <w:szCs w:val="22"/>
            </w:rPr>
          </w:pPr>
          <w:r>
            <w:fldChar w:fldCharType="begin"/>
          </w:r>
          <w:r>
            <w:instrText xml:space="preserve"> HYPERLINK \l "_Toc217058323" </w:instrText>
          </w:r>
          <w:r>
            <w:fldChar w:fldCharType="separate"/>
          </w:r>
          <w:r>
            <w:rPr>
              <w:rStyle w:val="32"/>
              <w:rFonts w:ascii="Times New Roman" w:hAnsi="Times New Roman" w:cs="Times New Roman"/>
            </w:rPr>
            <w:t>8.标准技术经济分析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_Toc217058323 \h </w:instrText>
          </w:r>
          <w:r>
            <w:rPr>
              <w:rFonts w:ascii="Times New Roman" w:hAnsi="Times New Roman" w:cs="Times New Roman"/>
            </w:rPr>
            <w:fldChar w:fldCharType="separate"/>
          </w:r>
          <w:r>
            <w:rPr>
              <w:rFonts w:ascii="Times New Roman" w:hAnsi="Times New Roman" w:cs="Times New Roman"/>
            </w:rPr>
            <w:t>77</w:t>
          </w:r>
          <w:r>
            <w:rPr>
              <w:rFonts w:ascii="Times New Roman" w:hAnsi="Times New Roman" w:cs="Times New Roman"/>
            </w:rPr>
            <w:fldChar w:fldCharType="end"/>
          </w:r>
          <w:r>
            <w:rPr>
              <w:rFonts w:ascii="Times New Roman" w:hAnsi="Times New Roman" w:cs="Times New Roman"/>
            </w:rPr>
            <w:fldChar w:fldCharType="end"/>
          </w:r>
        </w:p>
        <w:p w14:paraId="034C44B4">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"_Toc217058324" </w:instrText>
          </w:r>
          <w:r>
            <w:fldChar w:fldCharType="separate"/>
          </w:r>
          <w:r>
            <w:rPr>
              <w:rStyle w:val="32"/>
              <w:rFonts w:ascii="Times New Roman" w:hAnsi="Times New Roman" w:cs="Times New Roman"/>
            </w:rPr>
            <w:t>8.1 技术可行性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_Toc217058324 \h </w:instrText>
          </w:r>
          <w:r>
            <w:rPr>
              <w:rFonts w:ascii="Times New Roman" w:hAnsi="Times New Roman" w:cs="Times New Roman"/>
            </w:rPr>
            <w:fldChar w:fldCharType="separate"/>
          </w:r>
          <w:r>
            <w:rPr>
              <w:rFonts w:ascii="Times New Roman" w:hAnsi="Times New Roman" w:cs="Times New Roman"/>
            </w:rPr>
            <w:t>77</w:t>
          </w:r>
          <w:r>
            <w:rPr>
              <w:rFonts w:ascii="Times New Roman" w:hAnsi="Times New Roman" w:cs="Times New Roman"/>
            </w:rPr>
            <w:fldChar w:fldCharType="end"/>
          </w:r>
          <w:r>
            <w:rPr>
              <w:rFonts w:ascii="Times New Roman" w:hAnsi="Times New Roman" w:cs="Times New Roman"/>
            </w:rPr>
            <w:fldChar w:fldCharType="end"/>
          </w:r>
        </w:p>
        <w:p w14:paraId="20CA5BF9">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"_Toc217058325" </w:instrText>
          </w:r>
          <w:r>
            <w:fldChar w:fldCharType="separate"/>
          </w:r>
          <w:r>
            <w:rPr>
              <w:rStyle w:val="32"/>
              <w:rFonts w:ascii="Times New Roman" w:hAnsi="Times New Roman" w:cs="Times New Roman"/>
            </w:rPr>
            <w:t>8.2 经济可行性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_Toc217058325 \h </w:instrText>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r>
            <w:rPr>
              <w:rFonts w:ascii="Times New Roman" w:hAnsi="Times New Roman" w:cs="Times New Roman"/>
            </w:rPr>
            <w:fldChar w:fldCharType="end"/>
          </w:r>
        </w:p>
        <w:p w14:paraId="406C2DD8">
          <w:pPr>
            <w:pStyle w:val="19"/>
            <w:tabs>
              <w:tab w:val="right" w:leader="dot" w:pos="8296"/>
            </w:tabs>
            <w:rPr>
              <w:rFonts w:ascii="Times New Roman" w:hAnsi="Times New Roman" w:cs="Times New Roman" w:eastAsiaTheme="minorEastAsia"/>
              <w:kern w:val="2"/>
              <w:sz w:val="21"/>
              <w:szCs w:val="22"/>
            </w:rPr>
          </w:pPr>
          <w:r>
            <w:fldChar w:fldCharType="begin"/>
          </w:r>
          <w:r>
            <w:instrText xml:space="preserve"> HYPERLINK \l "_Toc217058326" </w:instrText>
          </w:r>
          <w:r>
            <w:fldChar w:fldCharType="separate"/>
          </w:r>
          <w:r>
            <w:rPr>
              <w:rStyle w:val="32"/>
              <w:rFonts w:ascii="Times New Roman" w:hAnsi="Times New Roman" w:cs="Times New Roman"/>
            </w:rPr>
            <w:t>9 贯彻实施标准的建议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_Toc217058326 \h </w:instrText>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r>
            <w:rPr>
              <w:rFonts w:ascii="Times New Roman" w:hAnsi="Times New Roman" w:cs="Times New Roman"/>
            </w:rPr>
            <w:fldChar w:fldCharType="end"/>
          </w:r>
        </w:p>
        <w:p w14:paraId="00FB25D0">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"_Toc217058327" </w:instrText>
          </w:r>
          <w:r>
            <w:fldChar w:fldCharType="separate"/>
          </w:r>
          <w:r>
            <w:rPr>
              <w:rStyle w:val="32"/>
              <w:rFonts w:ascii="Times New Roman" w:hAnsi="Times New Roman" w:cs="Times New Roman"/>
            </w:rPr>
            <w:t>9.1实施方式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_Toc217058327 \h </w:instrText>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r>
            <w:rPr>
              <w:rFonts w:ascii="Times New Roman" w:hAnsi="Times New Roman" w:cs="Times New Roman"/>
            </w:rPr>
            <w:fldChar w:fldCharType="end"/>
          </w:r>
        </w:p>
        <w:p w14:paraId="43F71ACA">
          <w:pPr>
            <w:pStyle w:val="22"/>
            <w:tabs>
              <w:tab w:val="right" w:leader="dot" w:pos="8296"/>
            </w:tabs>
            <w:ind w:left="480"/>
            <w:rPr>
              <w:rFonts w:ascii="Times New Roman" w:hAnsi="Times New Roman" w:cs="Times New Roman" w:eastAsiaTheme="minorEastAsia"/>
              <w:kern w:val="2"/>
              <w:sz w:val="21"/>
              <w:szCs w:val="22"/>
            </w:rPr>
          </w:pPr>
          <w:r>
            <w:fldChar w:fldCharType="begin"/>
          </w:r>
          <w:r>
            <w:instrText xml:space="preserve"> HYPERLINK \l "_Toc217058328" </w:instrText>
          </w:r>
          <w:r>
            <w:fldChar w:fldCharType="separate"/>
          </w:r>
          <w:r>
            <w:rPr>
              <w:rStyle w:val="32"/>
              <w:rFonts w:ascii="Times New Roman" w:hAnsi="Times New Roman" w:cs="Times New Roman"/>
            </w:rPr>
            <w:t>9.2加强超低排放与低碳协同发展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_Toc217058328 \h </w:instrText>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r>
            <w:rPr>
              <w:rFonts w:ascii="Times New Roman" w:hAnsi="Times New Roman" w:cs="Times New Roman"/>
            </w:rPr>
            <w:fldChar w:fldCharType="end"/>
          </w:r>
        </w:p>
        <w:p w14:paraId="661C7BB4">
          <w:pPr>
            <w:rPr>
              <w:rFonts w:ascii="Times New Roman" w:hAnsi="Times New Roman" w:cs="Times New Roman"/>
            </w:rPr>
          </w:pPr>
          <w:r>
            <w:rPr>
              <w:rFonts w:ascii="Times New Roman" w:hAnsi="Times New Roman" w:cs="Times New Roman"/>
              <w:b/>
              <w:bCs/>
              <w:lang w:val="zh-CN"/>
            </w:rPr>
            <w:fldChar w:fldCharType="end"/>
          </w:r>
        </w:p>
      </w:sdtContent>
    </w:sdt>
    <w:p w14:paraId="1B0C4652">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1A339BF2">
      <w:pPr>
        <w:pStyle w:val="38"/>
        <w:spacing w:before="156"/>
        <w:rPr>
          <w:rFonts w:eastAsia="宋体"/>
        </w:rPr>
      </w:pPr>
      <w:bookmarkStart w:id="0" w:name="_Toc217058275"/>
      <w:r>
        <w:rPr>
          <w:rFonts w:eastAsia="宋体"/>
        </w:rPr>
        <w:t>1 项目背景</w:t>
      </w:r>
      <w:bookmarkEnd w:id="0"/>
    </w:p>
    <w:p w14:paraId="1B63C66C">
      <w:pPr>
        <w:pStyle w:val="37"/>
        <w:spacing w:before="156"/>
      </w:pPr>
      <w:bookmarkStart w:id="1" w:name="_Toc217058276"/>
      <w:r>
        <w:t>1.1 任务来源</w:t>
      </w:r>
      <w:bookmarkEnd w:id="1"/>
    </w:p>
    <w:p w14:paraId="43FE14A7">
      <w:pPr>
        <w:spacing w:line="360" w:lineRule="auto"/>
        <w:ind w:firstLine="480" w:firstLineChars="200"/>
        <w:jc w:val="both"/>
        <w:rPr>
          <w:rFonts w:ascii="Times New Roman" w:hAnsi="Times New Roman" w:cs="Times New Roman"/>
        </w:rPr>
      </w:pPr>
      <w:r>
        <w:rPr>
          <w:rFonts w:ascii="Times New Roman" w:hAnsi="Times New Roman" w:cs="Times New Roman"/>
        </w:rPr>
        <w:t>为贯彻《中华人民共和国环境保护法》《中华人民共和国大气污染防治法》和《上海市大气污染防治条例》，加强对钢铁工业企业大气污染物排放控制，改善环境质量，保障公众健康，促进行业技术进步和可持续发展，结合上海市的实际情况，制定本文件。</w:t>
      </w:r>
    </w:p>
    <w:p w14:paraId="681A37A2">
      <w:pPr>
        <w:pStyle w:val="37"/>
        <w:spacing w:before="156"/>
      </w:pPr>
      <w:bookmarkStart w:id="2" w:name="_Toc217058277"/>
      <w:r>
        <w:t>1.2 标准编制组</w:t>
      </w:r>
      <w:bookmarkEnd w:id="2"/>
    </w:p>
    <w:p w14:paraId="6A48943E">
      <w:pPr>
        <w:spacing w:line="360" w:lineRule="auto"/>
        <w:ind w:firstLine="480" w:firstLineChars="200"/>
        <w:rPr>
          <w:rFonts w:ascii="Times New Roman" w:hAnsi="Times New Roman" w:cs="Times New Roman"/>
        </w:rPr>
      </w:pPr>
      <w:r>
        <w:rPr>
          <w:rFonts w:ascii="Times New Roman" w:hAnsi="Times New Roman" w:cs="Times New Roman"/>
        </w:rPr>
        <w:t>上海市环境监测中心、宝山钢铁股份有限公司</w:t>
      </w:r>
      <w:r>
        <w:rPr>
          <w:rFonts w:hint="eastAsia" w:ascii="Times New Roman" w:hAnsi="Times New Roman"/>
        </w:rPr>
        <w:t>、上海金艺检测技术有限公司</w:t>
      </w:r>
    </w:p>
    <w:p w14:paraId="4F3D6C58">
      <w:pPr>
        <w:pStyle w:val="37"/>
        <w:spacing w:before="156"/>
      </w:pPr>
      <w:bookmarkStart w:id="3" w:name="_Toc217058278"/>
      <w:r>
        <w:t>1.3 主要工作过程</w:t>
      </w:r>
      <w:bookmarkEnd w:id="3"/>
    </w:p>
    <w:p w14:paraId="1B40A67C">
      <w:pPr>
        <w:pStyle w:val="13"/>
        <w:spacing w:line="360" w:lineRule="auto"/>
        <w:ind w:firstLine="480" w:firstLineChars="200"/>
        <w:jc w:val="both"/>
        <w:rPr>
          <w:rFonts w:ascii="Times New Roman" w:hAnsi="Times New Roman"/>
        </w:rPr>
      </w:pPr>
      <w:r>
        <w:rPr>
          <w:rFonts w:ascii="Times New Roman" w:hAnsi="Times New Roman"/>
        </w:rPr>
        <w:t>标准编制组于2023年8月进行项目立项申报工作，对我市钢铁行业发展趋势、污染物排放水平以及排放控制技术进行了分析，对国内外相关法规标准和上海市相关政策要求开展了调研，并对标准实施的环境减排效果进行分析测算，形成了《标准》（讨论稿）。</w:t>
      </w:r>
    </w:p>
    <w:p w14:paraId="7F82CD48">
      <w:pPr>
        <w:pStyle w:val="13"/>
        <w:spacing w:line="360" w:lineRule="auto"/>
        <w:ind w:firstLine="480" w:firstLineChars="200"/>
        <w:rPr>
          <w:rFonts w:ascii="Times New Roman" w:hAnsi="Times New Roman"/>
        </w:rPr>
      </w:pPr>
      <w:r>
        <w:rPr>
          <w:rFonts w:ascii="Times New Roman" w:hAnsi="Times New Roman"/>
        </w:rPr>
        <w:t>具体工作过程包括：</w:t>
      </w:r>
    </w:p>
    <w:p w14:paraId="6E0E2799">
      <w:pPr>
        <w:pStyle w:val="13"/>
        <w:spacing w:line="360" w:lineRule="auto"/>
        <w:ind w:firstLine="480" w:firstLineChars="200"/>
        <w:rPr>
          <w:rFonts w:ascii="Times New Roman" w:hAnsi="Times New Roman"/>
        </w:rPr>
      </w:pPr>
      <w:r>
        <w:rPr>
          <w:rFonts w:ascii="Times New Roman" w:hAnsi="Times New Roman"/>
        </w:rPr>
        <w:t>（1）资料调研。</w:t>
      </w:r>
    </w:p>
    <w:p w14:paraId="3BAD7A8C">
      <w:pPr>
        <w:pStyle w:val="13"/>
        <w:spacing w:line="360" w:lineRule="auto"/>
        <w:ind w:firstLine="480" w:firstLineChars="200"/>
        <w:rPr>
          <w:rFonts w:ascii="Times New Roman" w:hAnsi="Times New Roman"/>
        </w:rPr>
      </w:pPr>
      <w:r>
        <w:rPr>
          <w:rFonts w:ascii="Times New Roman" w:hAnsi="Times New Roman"/>
        </w:rPr>
        <w:t>（2）污染源调查与现场测试。</w:t>
      </w:r>
    </w:p>
    <w:p w14:paraId="5BA1068A">
      <w:pPr>
        <w:pStyle w:val="13"/>
        <w:spacing w:line="360" w:lineRule="auto"/>
        <w:ind w:firstLine="480" w:firstLineChars="200"/>
        <w:rPr>
          <w:rFonts w:ascii="Times New Roman" w:hAnsi="Times New Roman"/>
        </w:rPr>
      </w:pPr>
      <w:r>
        <w:rPr>
          <w:rFonts w:ascii="Times New Roman" w:hAnsi="Times New Roman"/>
        </w:rPr>
        <w:t>（3）召开专家座谈会。</w:t>
      </w:r>
    </w:p>
    <w:p w14:paraId="4D270B42">
      <w:pPr>
        <w:pStyle w:val="13"/>
        <w:spacing w:line="360" w:lineRule="auto"/>
        <w:ind w:firstLine="480" w:firstLineChars="200"/>
        <w:rPr>
          <w:rFonts w:ascii="Times New Roman" w:hAnsi="Times New Roman"/>
        </w:rPr>
      </w:pPr>
      <w:r>
        <w:rPr>
          <w:rFonts w:ascii="Times New Roman" w:hAnsi="Times New Roman"/>
        </w:rPr>
        <w:t>（4）形成《标准》（讨论稿）。</w:t>
      </w:r>
    </w:p>
    <w:p w14:paraId="4D9FFDA3">
      <w:pPr>
        <w:pStyle w:val="38"/>
        <w:spacing w:before="156"/>
        <w:rPr>
          <w:rFonts w:eastAsia="宋体"/>
        </w:rPr>
      </w:pPr>
      <w:bookmarkStart w:id="4" w:name="_Toc217058279"/>
      <w:r>
        <w:rPr>
          <w:rFonts w:eastAsia="宋体"/>
        </w:rPr>
        <w:t>2 标准修订的必要性、原则及思路</w:t>
      </w:r>
      <w:bookmarkEnd w:id="4"/>
    </w:p>
    <w:p w14:paraId="5CE55A28">
      <w:pPr>
        <w:pStyle w:val="37"/>
        <w:spacing w:before="156"/>
      </w:pPr>
      <w:bookmarkStart w:id="5" w:name="_Toc217058280"/>
      <w:r>
        <w:t>2.1 必要性</w:t>
      </w:r>
      <w:bookmarkEnd w:id="5"/>
    </w:p>
    <w:p w14:paraId="01F0BBB3">
      <w:pPr>
        <w:pStyle w:val="13"/>
        <w:spacing w:line="360" w:lineRule="auto"/>
        <w:ind w:firstLine="480" w:firstLineChars="200"/>
        <w:jc w:val="both"/>
        <w:rPr>
          <w:rFonts w:ascii="Times New Roman" w:hAnsi="Times New Roman"/>
        </w:rPr>
      </w:pPr>
      <w:r>
        <w:rPr>
          <w:rFonts w:ascii="Times New Roman" w:hAnsi="Times New Roman"/>
        </w:rPr>
        <w:t>生态环境部等五部委于2019年4月联合印发了《关于推进实施钢铁行业超低排放的意见》，要求重点区域（京津冀及周边地区、长三角地区、汾渭平原）率先推进钢铁行业超低排放改造工作，并指出“推进实施钢铁行业超低排放是推动行业高质量发展、促进产业转型升级、助力打赢蓝天保卫战的重要举措”。中共中央 国务院在2021年底印发的《关于深入打好污染防治攻坚战的意见》亦提出要加强挥发性有机物和氮氧化物协同减排；推进钢铁、水泥、焦化行业企业超低排放改造，重点区域钢铁、燃煤机组、燃煤锅炉实现超低排放；完善生态环境标准体系，鼓励有条件的地方制定出台更加严格的标准。在相关要求下，本市钢铁行业（宝钢股份）开展了超低排放改造工作，目前基本完成，超低排放改造评估监测报告已于2023年2月份在中钢协网站公示。2024年1月五部委印发《关于推进实施焦化行业超低排放的意见》，本市焦化行业（宝钢股份、宝武碳业）也启动了相关改造工作。为保障本市污染防治攻坚战的深入开展与空气质量的进一步改善，制定本市《钢铁工业大气污染物排放标准》有迫切的现实需求。</w:t>
      </w:r>
    </w:p>
    <w:p w14:paraId="46F1C573">
      <w:pPr>
        <w:pStyle w:val="13"/>
        <w:spacing w:line="360" w:lineRule="auto"/>
        <w:ind w:firstLine="480" w:firstLineChars="200"/>
        <w:jc w:val="both"/>
        <w:rPr>
          <w:rFonts w:ascii="Times New Roman" w:hAnsi="Times New Roman"/>
        </w:rPr>
      </w:pPr>
      <w:r>
        <w:rPr>
          <w:rFonts w:ascii="Times New Roman" w:hAnsi="Times New Roman"/>
        </w:rPr>
        <w:t>一是落实国家及本市大气污染防治工作的需要。目前，本市钢铁行业大气污染物排放执行2012年颁布实施的国家标准，距今10年有余，其限值和管控要求距离《关于推进实施钢铁行业超低排放的意见》规定的限值有一定差距，已不能满足已完成超低排放改造企业的环境管控现实需求。制定《钢铁工业大气污染物排放标准》是贯彻党中央国务院污染防治攻坚战任务的重要举措，也是本市钢铁工业大气污染管控工作的重要抓手。</w:t>
      </w:r>
    </w:p>
    <w:p w14:paraId="6012C7C3">
      <w:pPr>
        <w:pStyle w:val="13"/>
        <w:spacing w:line="360" w:lineRule="auto"/>
        <w:ind w:firstLine="480" w:firstLineChars="200"/>
        <w:jc w:val="both"/>
        <w:rPr>
          <w:rFonts w:ascii="Times New Roman" w:hAnsi="Times New Roman"/>
        </w:rPr>
      </w:pPr>
      <w:r>
        <w:rPr>
          <w:rFonts w:ascii="Times New Roman" w:hAnsi="Times New Roman"/>
        </w:rPr>
        <w:t>二是长三角及区域协同发展的需要。在《关于推进实施钢铁行业超低排放的意见》中规定的重点区域中，除上海及安徽外，河北、山东、河南、山西、天津在2018至2022年间已基于超低排放要求发布并实施了钢铁工业大气污染物地方排放标准，江苏制定了地方标准并公开征求意见，浙江也启动了标准制定研究工作。上述钢铁行业地方标准在一定程度上弥补了超低排放限值的法律地位，有利于日常管理和监督执法。制定《钢铁工业大气污染物排放标准》是落实生态环境部超低排放改造工作的需要，是长三角及区域钢铁工业协同发展的需要。</w:t>
      </w:r>
    </w:p>
    <w:p w14:paraId="5338BEC0">
      <w:pPr>
        <w:pStyle w:val="13"/>
        <w:spacing w:line="360" w:lineRule="auto"/>
        <w:ind w:firstLine="480" w:firstLineChars="200"/>
        <w:jc w:val="both"/>
        <w:rPr>
          <w:rFonts w:ascii="Times New Roman" w:hAnsi="Times New Roman"/>
        </w:rPr>
      </w:pPr>
      <w:r>
        <w:rPr>
          <w:rFonts w:ascii="Times New Roman" w:hAnsi="Times New Roman"/>
        </w:rPr>
        <w:t>三是本市钢铁行业绿色发展的需要。钢铁工业是我国及本市的重要产业，也是大气污染物排放量最大的重点行业之一，其绿色发展对于推进本市高质量发展有重要意义。生态环境部大气司认为，超低排放改造工作改善了钢铁产能集中区域空气质量，调整了钢铁行业产业结构，引领了工业领域绿色转型，提升了钢铁企业整体治理水平。制定《钢铁工业大气污染物排放标准》有利于固化本市钢铁企业超低排放改造成效，促进超低排放改造工艺长期稳定运行，促使本市钢铁行业长期绿色健康发展。</w:t>
      </w:r>
    </w:p>
    <w:p w14:paraId="46A4FDFA">
      <w:pPr>
        <w:pStyle w:val="37"/>
        <w:spacing w:before="156"/>
      </w:pPr>
      <w:bookmarkStart w:id="6" w:name="_Toc217058281"/>
      <w:r>
        <w:t>2.2 原则</w:t>
      </w:r>
      <w:bookmarkEnd w:id="6"/>
    </w:p>
    <w:p w14:paraId="71C6CDFA">
      <w:pPr>
        <w:pStyle w:val="13"/>
        <w:spacing w:line="360" w:lineRule="auto"/>
        <w:ind w:firstLine="480" w:firstLineChars="200"/>
        <w:jc w:val="both"/>
        <w:rPr>
          <w:rFonts w:ascii="Times New Roman" w:hAnsi="Times New Roman"/>
        </w:rPr>
      </w:pPr>
      <w:r>
        <w:rPr>
          <w:rFonts w:ascii="Times New Roman" w:hAnsi="Times New Roman"/>
        </w:rPr>
        <w:t>遵循以下原则：</w:t>
      </w:r>
    </w:p>
    <w:p w14:paraId="46EA221A">
      <w:pPr>
        <w:pStyle w:val="13"/>
        <w:spacing w:line="360" w:lineRule="auto"/>
        <w:ind w:firstLine="480" w:firstLineChars="200"/>
        <w:jc w:val="both"/>
        <w:rPr>
          <w:rFonts w:ascii="Times New Roman" w:hAnsi="Times New Roman"/>
        </w:rPr>
      </w:pPr>
      <w:r>
        <w:rPr>
          <w:rFonts w:ascii="Times New Roman" w:hAnsi="Times New Roman"/>
        </w:rPr>
        <w:t>（1）服务空气质量改善工作</w:t>
      </w:r>
    </w:p>
    <w:p w14:paraId="2E8816EE">
      <w:pPr>
        <w:pStyle w:val="13"/>
        <w:spacing w:line="360" w:lineRule="auto"/>
        <w:ind w:firstLine="480" w:firstLineChars="200"/>
        <w:jc w:val="both"/>
        <w:rPr>
          <w:rFonts w:ascii="Times New Roman" w:hAnsi="Times New Roman"/>
        </w:rPr>
      </w:pPr>
      <w:r>
        <w:rPr>
          <w:rFonts w:ascii="Times New Roman" w:hAnsi="Times New Roman"/>
        </w:rPr>
        <w:t>长三角地区环境质量改善压力日益突出，本标准旨在控制颗粒物、二氧化硫、氮氧化物的排放，以改善区域的环境空气质量。</w:t>
      </w:r>
    </w:p>
    <w:p w14:paraId="7D5A018C">
      <w:pPr>
        <w:pStyle w:val="13"/>
        <w:spacing w:line="360" w:lineRule="auto"/>
        <w:ind w:firstLine="480" w:firstLineChars="200"/>
        <w:jc w:val="both"/>
        <w:rPr>
          <w:rFonts w:ascii="Times New Roman" w:hAnsi="Times New Roman"/>
        </w:rPr>
      </w:pPr>
      <w:r>
        <w:rPr>
          <w:rFonts w:ascii="Times New Roman" w:hAnsi="Times New Roman"/>
        </w:rPr>
        <w:t>（2）服务行业绿色发展</w:t>
      </w:r>
    </w:p>
    <w:p w14:paraId="7FA845CA">
      <w:pPr>
        <w:pStyle w:val="13"/>
        <w:spacing w:line="360" w:lineRule="auto"/>
        <w:ind w:firstLine="480" w:firstLineChars="200"/>
        <w:jc w:val="both"/>
        <w:rPr>
          <w:rFonts w:ascii="Times New Roman" w:hAnsi="Times New Roman"/>
        </w:rPr>
      </w:pPr>
      <w:r>
        <w:rPr>
          <w:rFonts w:ascii="Times New Roman" w:hAnsi="Times New Roman"/>
        </w:rPr>
        <w:t>本标准进一步规范了污染物的排放，</w:t>
      </w:r>
      <w:r>
        <w:rPr>
          <w:rFonts w:hint="eastAsia" w:ascii="Times New Roman" w:hAnsi="Times New Roman"/>
        </w:rPr>
        <w:t>巩固</w:t>
      </w:r>
      <w:r>
        <w:rPr>
          <w:rFonts w:ascii="Times New Roman" w:hAnsi="Times New Roman"/>
        </w:rPr>
        <w:t>及夯实钢铁、假话行业超低排放成果，充分考虑</w:t>
      </w:r>
      <w:r>
        <w:rPr>
          <w:rFonts w:hint="eastAsia" w:ascii="Times New Roman" w:hAnsi="Times New Roman"/>
        </w:rPr>
        <w:t>减污降碳</w:t>
      </w:r>
      <w:r>
        <w:rPr>
          <w:rFonts w:ascii="Times New Roman" w:hAnsi="Times New Roman"/>
        </w:rPr>
        <w:t>协同效益，促进钢铁行业绿色高质量健康发展。</w:t>
      </w:r>
    </w:p>
    <w:p w14:paraId="1C5F08A3">
      <w:pPr>
        <w:pStyle w:val="13"/>
        <w:spacing w:line="360" w:lineRule="auto"/>
        <w:ind w:firstLine="480" w:firstLineChars="200"/>
        <w:jc w:val="both"/>
        <w:rPr>
          <w:rFonts w:ascii="Times New Roman" w:hAnsi="Times New Roman"/>
        </w:rPr>
      </w:pPr>
      <w:r>
        <w:rPr>
          <w:rFonts w:ascii="Times New Roman" w:hAnsi="Times New Roman"/>
        </w:rPr>
        <w:t>（3）技术可行性原则</w:t>
      </w:r>
    </w:p>
    <w:p w14:paraId="7917CA6D">
      <w:pPr>
        <w:pStyle w:val="13"/>
        <w:spacing w:line="360" w:lineRule="auto"/>
        <w:ind w:firstLine="480" w:firstLineChars="200"/>
        <w:jc w:val="both"/>
        <w:rPr>
          <w:rFonts w:ascii="Times New Roman" w:hAnsi="Times New Roman"/>
        </w:rPr>
      </w:pPr>
      <w:r>
        <w:rPr>
          <w:rFonts w:ascii="Times New Roman" w:hAnsi="Times New Roman"/>
        </w:rPr>
        <w:t>以现有排放水平为基础，以先进技术为依托，分析排放控制技术的可行性，促进我市钢铁行业大气污染物控制技术进步。</w:t>
      </w:r>
    </w:p>
    <w:p w14:paraId="09AC8EFF">
      <w:pPr>
        <w:pStyle w:val="13"/>
        <w:spacing w:line="360" w:lineRule="auto"/>
        <w:ind w:firstLine="480" w:firstLineChars="200"/>
        <w:jc w:val="both"/>
        <w:rPr>
          <w:rFonts w:ascii="Times New Roman" w:hAnsi="Times New Roman"/>
        </w:rPr>
      </w:pPr>
      <w:r>
        <w:rPr>
          <w:rFonts w:ascii="Times New Roman" w:hAnsi="Times New Roman"/>
        </w:rPr>
        <w:t>（4）经济合理性原则</w:t>
      </w:r>
    </w:p>
    <w:p w14:paraId="394635B8">
      <w:pPr>
        <w:pStyle w:val="13"/>
        <w:spacing w:line="360" w:lineRule="auto"/>
        <w:ind w:firstLine="480" w:firstLineChars="200"/>
        <w:jc w:val="both"/>
        <w:rPr>
          <w:rFonts w:ascii="Times New Roman" w:hAnsi="Times New Roman"/>
        </w:rPr>
      </w:pPr>
      <w:r>
        <w:rPr>
          <w:rFonts w:ascii="Times New Roman" w:hAnsi="Times New Roman"/>
        </w:rPr>
        <w:t>标准的制定依据工艺成熟、成本合理的可行技术，具备可操作性。</w:t>
      </w:r>
    </w:p>
    <w:p w14:paraId="485870B5">
      <w:pPr>
        <w:pStyle w:val="37"/>
        <w:spacing w:before="156"/>
      </w:pPr>
      <w:bookmarkStart w:id="7" w:name="_Toc217058282"/>
      <w:r>
        <w:t>2.3 思路</w:t>
      </w:r>
      <w:bookmarkEnd w:id="7"/>
    </w:p>
    <w:p w14:paraId="152E40CB">
      <w:pPr>
        <w:pStyle w:val="13"/>
        <w:spacing w:line="360" w:lineRule="auto"/>
        <w:ind w:firstLine="480" w:firstLineChars="200"/>
        <w:jc w:val="both"/>
        <w:rPr>
          <w:rFonts w:ascii="Times New Roman" w:hAnsi="Times New Roman"/>
        </w:rPr>
      </w:pPr>
      <w:r>
        <w:rPr>
          <w:rFonts w:ascii="Times New Roman" w:hAnsi="Times New Roman"/>
        </w:rPr>
        <w:t>（1）筛选并设定大气污染物排放限值</w:t>
      </w:r>
    </w:p>
    <w:p w14:paraId="346A0064">
      <w:pPr>
        <w:pStyle w:val="13"/>
        <w:spacing w:line="360" w:lineRule="auto"/>
        <w:ind w:firstLine="480" w:firstLineChars="200"/>
        <w:jc w:val="both"/>
        <w:rPr>
          <w:rFonts w:ascii="Times New Roman" w:hAnsi="Times New Roman"/>
        </w:rPr>
      </w:pPr>
      <w:r>
        <w:rPr>
          <w:rFonts w:ascii="Times New Roman" w:hAnsi="Times New Roman"/>
        </w:rPr>
        <w:t>对颗粒物、氮氧化物、二氧化硫、氨、硫化氢、二噁英、氟化物、苯并[a]芘、</w:t>
      </w:r>
      <w:r>
        <w:rPr>
          <w:rFonts w:hint="eastAsia" w:ascii="Times New Roman" w:hAnsi="Times New Roman"/>
        </w:rPr>
        <w:t>氯化氢</w:t>
      </w:r>
      <w:r>
        <w:rPr>
          <w:rFonts w:ascii="Times New Roman" w:hAnsi="Times New Roman"/>
        </w:rPr>
        <w:t>、硫酸雾、硝酸雾、油雾、氰化氢、酚类、苯可溶物、苯、甲苯、二甲苯、非甲烷总烃</w:t>
      </w:r>
      <w:r>
        <w:rPr>
          <w:rFonts w:hint="eastAsia" w:ascii="Times New Roman" w:hAnsi="Times New Roman"/>
        </w:rPr>
        <w:t>、</w:t>
      </w:r>
      <w:r>
        <w:rPr>
          <w:rFonts w:ascii="Times New Roman" w:hAnsi="Times New Roman"/>
        </w:rPr>
        <w:t>铅及其化合物、锌及其化合物等排放因子设定有组织及无组织排放限值，以实现改善环境空气质量的目的。</w:t>
      </w:r>
    </w:p>
    <w:p w14:paraId="1A76B3A1">
      <w:pPr>
        <w:pStyle w:val="13"/>
        <w:spacing w:line="360" w:lineRule="auto"/>
        <w:ind w:firstLine="480" w:firstLineChars="200"/>
        <w:jc w:val="both"/>
        <w:rPr>
          <w:rFonts w:ascii="Times New Roman" w:hAnsi="Times New Roman"/>
        </w:rPr>
      </w:pPr>
      <w:r>
        <w:rPr>
          <w:rFonts w:ascii="Times New Roman" w:hAnsi="Times New Roman"/>
        </w:rPr>
        <w:t>（2）明确大气污染物的监测要求</w:t>
      </w:r>
    </w:p>
    <w:p w14:paraId="4B65AF03">
      <w:pPr>
        <w:pStyle w:val="13"/>
        <w:spacing w:line="360" w:lineRule="auto"/>
        <w:ind w:firstLine="480" w:firstLineChars="200"/>
        <w:jc w:val="both"/>
        <w:rPr>
          <w:rFonts w:ascii="Times New Roman" w:hAnsi="Times New Roman"/>
        </w:rPr>
      </w:pPr>
      <w:r>
        <w:rPr>
          <w:rFonts w:ascii="Times New Roman" w:hAnsi="Times New Roman"/>
        </w:rPr>
        <w:t>确定大气污染物监测分析方法、大气污染物基准含氧量排放浓度折算方法、达标判定方法。</w:t>
      </w:r>
    </w:p>
    <w:p w14:paraId="0BD6A4D4">
      <w:pPr>
        <w:pStyle w:val="13"/>
        <w:spacing w:line="360" w:lineRule="auto"/>
        <w:ind w:firstLine="480" w:firstLineChars="200"/>
        <w:jc w:val="both"/>
        <w:rPr>
          <w:rFonts w:ascii="Times New Roman" w:hAnsi="Times New Roman"/>
        </w:rPr>
      </w:pPr>
      <w:r>
        <w:rPr>
          <w:rFonts w:ascii="Times New Roman" w:hAnsi="Times New Roman"/>
        </w:rPr>
        <w:t>（3）加强与《关于推进实施钢铁行业超低排放的意见》、《关于推进实施焦化行业超低排放的意见》、《炼焦化学工业大气污染物排放标准》（GB 16171.1-2024）、排放许可证制度等的衔接。</w:t>
      </w:r>
    </w:p>
    <w:p w14:paraId="7D7E561B">
      <w:pPr>
        <w:rPr>
          <w:rFonts w:ascii="Times New Roman" w:hAnsi="Times New Roman" w:cs="Times New Roman"/>
          <w:b/>
          <w:bCs/>
          <w:kern w:val="44"/>
          <w:sz w:val="32"/>
          <w:szCs w:val="32"/>
        </w:rPr>
      </w:pPr>
      <w:bookmarkStart w:id="8" w:name="_Toc217058283"/>
      <w:r>
        <w:br w:type="page"/>
      </w:r>
    </w:p>
    <w:p w14:paraId="062020D6">
      <w:pPr>
        <w:pStyle w:val="38"/>
        <w:spacing w:before="156"/>
        <w:rPr>
          <w:rFonts w:eastAsia="宋体"/>
        </w:rPr>
      </w:pPr>
      <w:r>
        <w:rPr>
          <w:rFonts w:eastAsia="宋体"/>
        </w:rPr>
        <w:t>3 本市钢铁行业发展现状及趋势分析</w:t>
      </w:r>
      <w:bookmarkEnd w:id="8"/>
    </w:p>
    <w:p w14:paraId="5449E7AB">
      <w:pPr>
        <w:pStyle w:val="37"/>
        <w:spacing w:before="156"/>
      </w:pPr>
      <w:bookmarkStart w:id="9" w:name="_Toc217058284"/>
      <w:r>
        <w:t>3.1 本市钢铁行业概况</w:t>
      </w:r>
      <w:bookmarkEnd w:id="9"/>
    </w:p>
    <w:p w14:paraId="2A9B3847">
      <w:pPr>
        <w:pStyle w:val="13"/>
        <w:spacing w:line="360" w:lineRule="auto"/>
        <w:ind w:firstLine="480" w:firstLineChars="200"/>
        <w:rPr>
          <w:rFonts w:ascii="Times New Roman" w:hAnsi="Times New Roman"/>
        </w:rPr>
      </w:pPr>
      <w:r>
        <w:rPr>
          <w:rFonts w:ascii="Times New Roman" w:hAnsi="Times New Roman"/>
        </w:rPr>
        <w:t>经统计，2018-2023年上海市粗钢、钢材、焦炭产量见表2-1。</w:t>
      </w:r>
    </w:p>
    <w:p w14:paraId="3E854AEB">
      <w:pPr>
        <w:spacing w:line="235" w:lineRule="auto"/>
        <w:jc w:val="center"/>
        <w:rPr>
          <w:rFonts w:ascii="Times New Roman" w:hAnsi="Times New Roman" w:eastAsia="黑体" w:cs="Times New Roman"/>
        </w:rPr>
      </w:pPr>
      <w:r>
        <w:rPr>
          <w:rFonts w:ascii="Times New Roman" w:hAnsi="Times New Roman" w:eastAsia="黑体" w:cs="Times New Roman"/>
          <w:color w:val="000000"/>
        </w:rPr>
        <w:t>表2-1  2018-2023年上海市粗钢、钢材、焦炭产量统计</w:t>
      </w:r>
    </w:p>
    <w:tbl>
      <w:tblPr>
        <w:tblStyle w:val="27"/>
        <w:tblW w:w="5000"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623"/>
        <w:gridCol w:w="1964"/>
        <w:gridCol w:w="1969"/>
        <w:gridCol w:w="2770"/>
      </w:tblGrid>
      <w:tr w14:paraId="44B160C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97" w:hRule="atLeast"/>
          <w:jc w:val="center"/>
        </w:trPr>
        <w:tc>
          <w:tcPr>
            <w:tcW w:w="1663" w:type="dxa"/>
            <w:tcBorders>
              <w:top w:val="single" w:color="000000" w:sz="4" w:space="0"/>
              <w:left w:val="single" w:color="000000" w:sz="4" w:space="0"/>
              <w:bottom w:val="single" w:color="000000" w:sz="4" w:space="0"/>
              <w:right w:val="single" w:color="000000" w:sz="4" w:space="0"/>
            </w:tcBorders>
            <w:vAlign w:val="center"/>
          </w:tcPr>
          <w:p w14:paraId="2E1A9AF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年份</w:t>
            </w:r>
          </w:p>
        </w:tc>
        <w:tc>
          <w:tcPr>
            <w:tcW w:w="2006" w:type="dxa"/>
            <w:tcBorders>
              <w:top w:val="single" w:color="000000" w:sz="4" w:space="0"/>
              <w:left w:val="single" w:color="000000" w:sz="4" w:space="0"/>
              <w:bottom w:val="single" w:color="000000" w:sz="4" w:space="0"/>
              <w:right w:val="single" w:color="auto" w:sz="4" w:space="0"/>
            </w:tcBorders>
            <w:vAlign w:val="center"/>
          </w:tcPr>
          <w:p w14:paraId="60987F7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粗钢产量（万吨）</w:t>
            </w:r>
          </w:p>
        </w:tc>
        <w:tc>
          <w:tcPr>
            <w:tcW w:w="2011" w:type="dxa"/>
            <w:tcBorders>
              <w:top w:val="single" w:color="000000" w:sz="4" w:space="0"/>
              <w:left w:val="single" w:color="auto" w:sz="4" w:space="0"/>
              <w:bottom w:val="single" w:color="000000" w:sz="4" w:space="0"/>
              <w:right w:val="single" w:color="000000" w:sz="4" w:space="0"/>
            </w:tcBorders>
            <w:vAlign w:val="center"/>
          </w:tcPr>
          <w:p w14:paraId="246F376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钢材产量（万吨）</w:t>
            </w:r>
          </w:p>
        </w:tc>
        <w:tc>
          <w:tcPr>
            <w:tcW w:w="2844" w:type="dxa"/>
            <w:tcBorders>
              <w:top w:val="single" w:color="000000" w:sz="4" w:space="0"/>
              <w:left w:val="single" w:color="000000" w:sz="4" w:space="0"/>
              <w:bottom w:val="single" w:color="000000" w:sz="4" w:space="0"/>
              <w:right w:val="single" w:color="000000" w:sz="4" w:space="0"/>
            </w:tcBorders>
            <w:vAlign w:val="center"/>
          </w:tcPr>
          <w:p w14:paraId="5E99DEE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焦炭产量（万吨）</w:t>
            </w:r>
          </w:p>
        </w:tc>
      </w:tr>
      <w:tr w14:paraId="0A56351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97" w:hRule="atLeast"/>
          <w:jc w:val="center"/>
        </w:trPr>
        <w:tc>
          <w:tcPr>
            <w:tcW w:w="1663" w:type="dxa"/>
            <w:tcBorders>
              <w:top w:val="single" w:color="000000" w:sz="4" w:space="0"/>
              <w:left w:val="single" w:color="000000" w:sz="4" w:space="0"/>
              <w:bottom w:val="single" w:color="000000" w:sz="4" w:space="0"/>
              <w:right w:val="single" w:color="000000" w:sz="4" w:space="0"/>
            </w:tcBorders>
            <w:vAlign w:val="center"/>
          </w:tcPr>
          <w:p w14:paraId="19D628E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2018</w:t>
            </w:r>
          </w:p>
        </w:tc>
        <w:tc>
          <w:tcPr>
            <w:tcW w:w="2006" w:type="dxa"/>
            <w:tcBorders>
              <w:top w:val="single" w:color="000000" w:sz="4" w:space="0"/>
              <w:left w:val="single" w:color="000000" w:sz="4" w:space="0"/>
              <w:bottom w:val="single" w:color="000000" w:sz="4" w:space="0"/>
              <w:right w:val="single" w:color="auto" w:sz="4" w:space="0"/>
            </w:tcBorders>
            <w:vAlign w:val="center"/>
          </w:tcPr>
          <w:p w14:paraId="1C0B5DB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1630.09</w:t>
            </w:r>
          </w:p>
        </w:tc>
        <w:tc>
          <w:tcPr>
            <w:tcW w:w="2011" w:type="dxa"/>
            <w:tcBorders>
              <w:top w:val="single" w:color="000000" w:sz="4" w:space="0"/>
              <w:left w:val="single" w:color="auto" w:sz="4" w:space="0"/>
              <w:bottom w:val="single" w:color="000000" w:sz="4" w:space="0"/>
              <w:right w:val="single" w:color="000000" w:sz="4" w:space="0"/>
            </w:tcBorders>
            <w:vAlign w:val="center"/>
          </w:tcPr>
          <w:p w14:paraId="71D2ACE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1983.32</w:t>
            </w:r>
          </w:p>
        </w:tc>
        <w:tc>
          <w:tcPr>
            <w:tcW w:w="2844" w:type="dxa"/>
            <w:tcBorders>
              <w:top w:val="single" w:color="000000" w:sz="4" w:space="0"/>
              <w:left w:val="single" w:color="000000" w:sz="4" w:space="0"/>
              <w:bottom w:val="single" w:color="000000" w:sz="4" w:space="0"/>
              <w:right w:val="single" w:color="000000" w:sz="4" w:space="0"/>
            </w:tcBorders>
            <w:vAlign w:val="center"/>
          </w:tcPr>
          <w:p w14:paraId="35E14AF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544.91</w:t>
            </w:r>
          </w:p>
        </w:tc>
      </w:tr>
      <w:tr w14:paraId="567F8AD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97" w:hRule="atLeast"/>
          <w:jc w:val="center"/>
        </w:trPr>
        <w:tc>
          <w:tcPr>
            <w:tcW w:w="1663" w:type="dxa"/>
            <w:tcBorders>
              <w:top w:val="single" w:color="000000" w:sz="4" w:space="0"/>
              <w:left w:val="single" w:color="000000" w:sz="4" w:space="0"/>
              <w:bottom w:val="single" w:color="000000" w:sz="4" w:space="0"/>
              <w:right w:val="single" w:color="000000" w:sz="4" w:space="0"/>
            </w:tcBorders>
            <w:vAlign w:val="center"/>
          </w:tcPr>
          <w:p w14:paraId="7BDC6B5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2019</w:t>
            </w:r>
          </w:p>
        </w:tc>
        <w:tc>
          <w:tcPr>
            <w:tcW w:w="2006" w:type="dxa"/>
            <w:tcBorders>
              <w:top w:val="single" w:color="000000" w:sz="4" w:space="0"/>
              <w:left w:val="single" w:color="000000" w:sz="4" w:space="0"/>
              <w:bottom w:val="single" w:color="000000" w:sz="4" w:space="0"/>
              <w:right w:val="single" w:color="auto" w:sz="4" w:space="0"/>
            </w:tcBorders>
            <w:vAlign w:val="center"/>
          </w:tcPr>
          <w:p w14:paraId="60F5821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1640.25</w:t>
            </w:r>
          </w:p>
        </w:tc>
        <w:tc>
          <w:tcPr>
            <w:tcW w:w="2011" w:type="dxa"/>
            <w:tcBorders>
              <w:top w:val="single" w:color="000000" w:sz="4" w:space="0"/>
              <w:left w:val="single" w:color="auto" w:sz="4" w:space="0"/>
              <w:bottom w:val="single" w:color="000000" w:sz="4" w:space="0"/>
              <w:right w:val="single" w:color="000000" w:sz="4" w:space="0"/>
            </w:tcBorders>
            <w:vAlign w:val="center"/>
          </w:tcPr>
          <w:p w14:paraId="053BEA6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1819.69</w:t>
            </w:r>
          </w:p>
        </w:tc>
        <w:tc>
          <w:tcPr>
            <w:tcW w:w="2844" w:type="dxa"/>
            <w:tcBorders>
              <w:top w:val="single" w:color="000000" w:sz="4" w:space="0"/>
              <w:left w:val="single" w:color="000000" w:sz="4" w:space="0"/>
              <w:bottom w:val="single" w:color="000000" w:sz="4" w:space="0"/>
              <w:right w:val="single" w:color="000000" w:sz="4" w:space="0"/>
            </w:tcBorders>
            <w:vAlign w:val="center"/>
          </w:tcPr>
          <w:p w14:paraId="3F07607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549.28</w:t>
            </w:r>
          </w:p>
        </w:tc>
      </w:tr>
      <w:tr w14:paraId="2B056E7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97" w:hRule="atLeast"/>
          <w:jc w:val="center"/>
        </w:trPr>
        <w:tc>
          <w:tcPr>
            <w:tcW w:w="1663" w:type="dxa"/>
            <w:tcBorders>
              <w:top w:val="single" w:color="000000" w:sz="4" w:space="0"/>
              <w:left w:val="single" w:color="000000" w:sz="4" w:space="0"/>
              <w:bottom w:val="single" w:color="000000" w:sz="4" w:space="0"/>
              <w:right w:val="single" w:color="000000" w:sz="4" w:space="0"/>
            </w:tcBorders>
            <w:vAlign w:val="center"/>
          </w:tcPr>
          <w:p w14:paraId="05C00E1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2020</w:t>
            </w:r>
          </w:p>
        </w:tc>
        <w:tc>
          <w:tcPr>
            <w:tcW w:w="2006" w:type="dxa"/>
            <w:tcBorders>
              <w:top w:val="single" w:color="000000" w:sz="4" w:space="0"/>
              <w:left w:val="single" w:color="000000" w:sz="4" w:space="0"/>
              <w:bottom w:val="single" w:color="000000" w:sz="4" w:space="0"/>
              <w:right w:val="single" w:color="auto" w:sz="4" w:space="0"/>
            </w:tcBorders>
            <w:vAlign w:val="center"/>
          </w:tcPr>
          <w:p w14:paraId="37B804D1">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1575.60</w:t>
            </w:r>
          </w:p>
        </w:tc>
        <w:tc>
          <w:tcPr>
            <w:tcW w:w="2011" w:type="dxa"/>
            <w:tcBorders>
              <w:top w:val="single" w:color="000000" w:sz="4" w:space="0"/>
              <w:left w:val="single" w:color="auto" w:sz="4" w:space="0"/>
              <w:bottom w:val="single" w:color="000000" w:sz="4" w:space="0"/>
              <w:right w:val="single" w:color="000000" w:sz="4" w:space="0"/>
            </w:tcBorders>
            <w:vAlign w:val="center"/>
          </w:tcPr>
          <w:p w14:paraId="2AFC4B3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1879.61</w:t>
            </w:r>
          </w:p>
        </w:tc>
        <w:tc>
          <w:tcPr>
            <w:tcW w:w="2844" w:type="dxa"/>
            <w:tcBorders>
              <w:top w:val="single" w:color="000000" w:sz="4" w:space="0"/>
              <w:left w:val="single" w:color="000000" w:sz="4" w:space="0"/>
              <w:bottom w:val="single" w:color="000000" w:sz="4" w:space="0"/>
              <w:right w:val="single" w:color="000000" w:sz="4" w:space="0"/>
            </w:tcBorders>
            <w:vAlign w:val="center"/>
          </w:tcPr>
          <w:p w14:paraId="561C833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540.58</w:t>
            </w:r>
          </w:p>
        </w:tc>
      </w:tr>
      <w:tr w14:paraId="1706650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97" w:hRule="atLeast"/>
          <w:jc w:val="center"/>
        </w:trPr>
        <w:tc>
          <w:tcPr>
            <w:tcW w:w="1663" w:type="dxa"/>
            <w:tcBorders>
              <w:top w:val="single" w:color="000000" w:sz="4" w:space="0"/>
              <w:left w:val="single" w:color="000000" w:sz="4" w:space="0"/>
              <w:bottom w:val="single" w:color="000000" w:sz="4" w:space="0"/>
              <w:right w:val="single" w:color="000000" w:sz="4" w:space="0"/>
            </w:tcBorders>
            <w:vAlign w:val="center"/>
          </w:tcPr>
          <w:p w14:paraId="4F12CCB3">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2021</w:t>
            </w:r>
          </w:p>
        </w:tc>
        <w:tc>
          <w:tcPr>
            <w:tcW w:w="2006" w:type="dxa"/>
            <w:tcBorders>
              <w:top w:val="single" w:color="000000" w:sz="4" w:space="0"/>
              <w:left w:val="single" w:color="000000" w:sz="4" w:space="0"/>
              <w:bottom w:val="single" w:color="000000" w:sz="4" w:space="0"/>
              <w:right w:val="single" w:color="auto" w:sz="4" w:space="0"/>
            </w:tcBorders>
            <w:vAlign w:val="center"/>
          </w:tcPr>
          <w:p w14:paraId="741E27E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1577.06</w:t>
            </w:r>
          </w:p>
        </w:tc>
        <w:tc>
          <w:tcPr>
            <w:tcW w:w="2011" w:type="dxa"/>
            <w:tcBorders>
              <w:top w:val="single" w:color="000000" w:sz="4" w:space="0"/>
              <w:left w:val="single" w:color="auto" w:sz="4" w:space="0"/>
              <w:bottom w:val="single" w:color="000000" w:sz="4" w:space="0"/>
              <w:right w:val="single" w:color="000000" w:sz="4" w:space="0"/>
            </w:tcBorders>
            <w:vAlign w:val="center"/>
          </w:tcPr>
          <w:p w14:paraId="3E0975E2">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1941.43</w:t>
            </w:r>
          </w:p>
        </w:tc>
        <w:tc>
          <w:tcPr>
            <w:tcW w:w="2844" w:type="dxa"/>
            <w:tcBorders>
              <w:top w:val="single" w:color="000000" w:sz="4" w:space="0"/>
              <w:left w:val="single" w:color="000000" w:sz="4" w:space="0"/>
              <w:bottom w:val="single" w:color="000000" w:sz="4" w:space="0"/>
              <w:right w:val="single" w:color="000000" w:sz="4" w:space="0"/>
            </w:tcBorders>
            <w:vAlign w:val="center"/>
          </w:tcPr>
          <w:p w14:paraId="6B6BB4E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540.86</w:t>
            </w:r>
          </w:p>
        </w:tc>
      </w:tr>
      <w:tr w14:paraId="2CEEDC5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97" w:hRule="atLeast"/>
          <w:jc w:val="center"/>
        </w:trPr>
        <w:tc>
          <w:tcPr>
            <w:tcW w:w="1663" w:type="dxa"/>
            <w:tcBorders>
              <w:top w:val="single" w:color="000000" w:sz="4" w:space="0"/>
              <w:left w:val="single" w:color="000000" w:sz="4" w:space="0"/>
              <w:bottom w:val="single" w:color="000000" w:sz="4" w:space="0"/>
              <w:right w:val="single" w:color="000000" w:sz="4" w:space="0"/>
            </w:tcBorders>
            <w:vAlign w:val="center"/>
          </w:tcPr>
          <w:p w14:paraId="6904584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2022</w:t>
            </w:r>
          </w:p>
        </w:tc>
        <w:tc>
          <w:tcPr>
            <w:tcW w:w="2006" w:type="dxa"/>
            <w:tcBorders>
              <w:top w:val="single" w:color="000000" w:sz="4" w:space="0"/>
              <w:left w:val="single" w:color="000000" w:sz="4" w:space="0"/>
              <w:bottom w:val="single" w:color="000000" w:sz="4" w:space="0"/>
              <w:right w:val="single" w:color="auto" w:sz="4" w:space="0"/>
            </w:tcBorders>
            <w:vAlign w:val="center"/>
          </w:tcPr>
          <w:p w14:paraId="32CA7F5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1500.82</w:t>
            </w:r>
          </w:p>
        </w:tc>
        <w:tc>
          <w:tcPr>
            <w:tcW w:w="2011" w:type="dxa"/>
            <w:tcBorders>
              <w:top w:val="single" w:color="000000" w:sz="4" w:space="0"/>
              <w:left w:val="single" w:color="auto" w:sz="4" w:space="0"/>
              <w:bottom w:val="single" w:color="000000" w:sz="4" w:space="0"/>
              <w:right w:val="single" w:color="000000" w:sz="4" w:space="0"/>
            </w:tcBorders>
            <w:vAlign w:val="center"/>
          </w:tcPr>
          <w:p w14:paraId="2B4004B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1920.90</w:t>
            </w:r>
          </w:p>
        </w:tc>
        <w:tc>
          <w:tcPr>
            <w:tcW w:w="2844" w:type="dxa"/>
            <w:tcBorders>
              <w:top w:val="single" w:color="000000" w:sz="4" w:space="0"/>
              <w:left w:val="single" w:color="000000" w:sz="4" w:space="0"/>
              <w:bottom w:val="single" w:color="000000" w:sz="4" w:space="0"/>
              <w:right w:val="single" w:color="000000" w:sz="4" w:space="0"/>
            </w:tcBorders>
            <w:vAlign w:val="center"/>
          </w:tcPr>
          <w:p w14:paraId="4E7FF883">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514.69</w:t>
            </w:r>
          </w:p>
        </w:tc>
      </w:tr>
      <w:tr w14:paraId="182F288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97" w:hRule="atLeast"/>
          <w:jc w:val="center"/>
        </w:trPr>
        <w:tc>
          <w:tcPr>
            <w:tcW w:w="1663" w:type="dxa"/>
            <w:tcBorders>
              <w:top w:val="single" w:color="000000" w:sz="4" w:space="0"/>
              <w:left w:val="single" w:color="000000" w:sz="4" w:space="0"/>
              <w:bottom w:val="single" w:color="000000" w:sz="4" w:space="0"/>
              <w:right w:val="single" w:color="000000" w:sz="4" w:space="0"/>
            </w:tcBorders>
            <w:vAlign w:val="center"/>
          </w:tcPr>
          <w:p w14:paraId="142B6C7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2023</w:t>
            </w:r>
          </w:p>
        </w:tc>
        <w:tc>
          <w:tcPr>
            <w:tcW w:w="2006" w:type="dxa"/>
            <w:tcBorders>
              <w:top w:val="single" w:color="000000" w:sz="4" w:space="0"/>
              <w:left w:val="single" w:color="000000" w:sz="4" w:space="0"/>
              <w:bottom w:val="single" w:color="000000" w:sz="4" w:space="0"/>
              <w:right w:val="single" w:color="auto" w:sz="4" w:space="0"/>
            </w:tcBorders>
            <w:vAlign w:val="center"/>
          </w:tcPr>
          <w:p w14:paraId="78F0C3D1">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1573.30</w:t>
            </w:r>
          </w:p>
        </w:tc>
        <w:tc>
          <w:tcPr>
            <w:tcW w:w="2011" w:type="dxa"/>
            <w:tcBorders>
              <w:top w:val="single" w:color="000000" w:sz="4" w:space="0"/>
              <w:left w:val="single" w:color="auto" w:sz="4" w:space="0"/>
              <w:bottom w:val="single" w:color="000000" w:sz="4" w:space="0"/>
              <w:right w:val="single" w:color="000000" w:sz="4" w:space="0"/>
            </w:tcBorders>
            <w:vAlign w:val="center"/>
          </w:tcPr>
          <w:p w14:paraId="6887807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1917.20</w:t>
            </w:r>
          </w:p>
        </w:tc>
        <w:tc>
          <w:tcPr>
            <w:tcW w:w="2844" w:type="dxa"/>
            <w:tcBorders>
              <w:top w:val="single" w:color="000000" w:sz="4" w:space="0"/>
              <w:left w:val="single" w:color="000000" w:sz="4" w:space="0"/>
              <w:bottom w:val="single" w:color="000000" w:sz="4" w:space="0"/>
              <w:right w:val="single" w:color="000000" w:sz="4" w:space="0"/>
            </w:tcBorders>
            <w:vAlign w:val="center"/>
          </w:tcPr>
          <w:p w14:paraId="7CF0834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2"/>
                <w:szCs w:val="22"/>
              </w:rPr>
            </w:pPr>
            <w:r>
              <w:rPr>
                <w:rFonts w:hint="eastAsia" w:ascii="Times New Roman" w:hAnsi="Times New Roman" w:cs="Times New Roman"/>
                <w:sz w:val="22"/>
                <w:szCs w:val="22"/>
              </w:rPr>
              <w:t>526.69</w:t>
            </w:r>
          </w:p>
        </w:tc>
      </w:tr>
    </w:tbl>
    <w:p w14:paraId="393BCFA9">
      <w:pPr>
        <w:spacing w:line="360" w:lineRule="auto"/>
        <w:ind w:firstLine="422" w:firstLineChars="200"/>
        <w:rPr>
          <w:rFonts w:ascii="Times New Roman" w:hAnsi="Times New Roman" w:cs="Times New Roman"/>
          <w:b/>
          <w:bCs/>
          <w:sz w:val="21"/>
          <w:szCs w:val="20"/>
        </w:rPr>
      </w:pPr>
      <w:r>
        <w:rPr>
          <w:rFonts w:ascii="Times New Roman" w:hAnsi="Times New Roman" w:cs="Times New Roman"/>
          <w:b/>
          <w:bCs/>
          <w:sz w:val="21"/>
          <w:szCs w:val="20"/>
        </w:rPr>
        <w:t>数据来源：国家统计局网站。</w:t>
      </w:r>
    </w:p>
    <w:p w14:paraId="4C6D622D">
      <w:pPr>
        <w:jc w:val="center"/>
        <w:rPr>
          <w:rFonts w:ascii="Times New Roman" w:hAnsi="Times New Roman" w:eastAsia="仿宋_GB2312" w:cs="Times New Roman"/>
          <w:bCs/>
          <w:sz w:val="28"/>
          <w:szCs w:val="28"/>
        </w:rPr>
      </w:pPr>
      <w:r>
        <w:drawing>
          <wp:inline distT="0" distB="0" distL="114300" distR="114300">
            <wp:extent cx="5269865" cy="2617470"/>
            <wp:effectExtent l="0" t="0" r="698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5269865" cy="2617470"/>
                    </a:xfrm>
                    <a:prstGeom prst="rect">
                      <a:avLst/>
                    </a:prstGeom>
                    <a:noFill/>
                    <a:ln>
                      <a:noFill/>
                    </a:ln>
                  </pic:spPr>
                </pic:pic>
              </a:graphicData>
            </a:graphic>
          </wp:inline>
        </w:drawing>
      </w:r>
    </w:p>
    <w:p w14:paraId="275D7492">
      <w:pPr>
        <w:spacing w:line="235" w:lineRule="auto"/>
        <w:jc w:val="center"/>
        <w:rPr>
          <w:rFonts w:ascii="Times New Roman" w:hAnsi="Times New Roman" w:eastAsia="黑体" w:cs="Times New Roman"/>
        </w:rPr>
      </w:pPr>
      <w:r>
        <w:rPr>
          <w:rFonts w:ascii="Times New Roman" w:hAnsi="Times New Roman" w:eastAsia="黑体" w:cs="Times New Roman"/>
          <w:color w:val="000000"/>
        </w:rPr>
        <w:t>图2-1  2018-2023年上海市粗钢、钢材、焦炭产量变化图</w:t>
      </w:r>
    </w:p>
    <w:p w14:paraId="11BCF80C">
      <w:pPr>
        <w:pStyle w:val="13"/>
        <w:spacing w:line="360" w:lineRule="auto"/>
        <w:ind w:firstLine="480" w:firstLineChars="200"/>
        <w:jc w:val="both"/>
        <w:rPr>
          <w:rFonts w:ascii="Times New Roman" w:hAnsi="Times New Roman"/>
        </w:rPr>
      </w:pPr>
      <w:r>
        <w:rPr>
          <w:rFonts w:ascii="Times New Roman" w:hAnsi="Times New Roman"/>
        </w:rPr>
        <w:t>从上表可知，近年来上海市严格执行国家严禁新增钢铁产能政策，持续深入推进供给侧结构性改革，粗钢产量、钢材产量及焦炭产量基本无较大波动。</w:t>
      </w:r>
    </w:p>
    <w:p w14:paraId="0A86C1A7">
      <w:pPr>
        <w:pStyle w:val="13"/>
        <w:spacing w:line="360" w:lineRule="auto"/>
        <w:ind w:firstLine="480" w:firstLineChars="200"/>
        <w:jc w:val="both"/>
        <w:rPr>
          <w:rFonts w:ascii="Times New Roman" w:hAnsi="Times New Roman"/>
        </w:rPr>
      </w:pPr>
      <w:r>
        <w:rPr>
          <w:rFonts w:ascii="Times New Roman" w:hAnsi="Times New Roman"/>
        </w:rPr>
        <w:t>按照中国钢铁工业装备水平分级标准，上海市钢铁行业烧结机、高炉、转炉领先水平产能占比均达到100%，焦炉先进水平产能占比100%，电炉领先水平产能达到79%。</w:t>
      </w:r>
    </w:p>
    <w:p w14:paraId="4CE9CD9A">
      <w:pPr>
        <w:rPr>
          <w:rFonts w:ascii="Times New Roman" w:hAnsi="Times New Roman" w:eastAsia="黑体" w:cs="Times New Roman"/>
          <w:color w:val="000000"/>
        </w:rPr>
      </w:pPr>
      <w:r>
        <w:rPr>
          <w:rFonts w:ascii="Times New Roman" w:hAnsi="Times New Roman" w:eastAsia="黑体" w:cs="Times New Roman"/>
          <w:color w:val="000000"/>
        </w:rPr>
        <w:br w:type="page"/>
      </w:r>
    </w:p>
    <w:p w14:paraId="002149C8">
      <w:pPr>
        <w:spacing w:line="235" w:lineRule="auto"/>
        <w:jc w:val="center"/>
        <w:rPr>
          <w:rFonts w:ascii="Times New Roman" w:hAnsi="Times New Roman" w:eastAsia="黑体" w:cs="Times New Roman"/>
          <w:color w:val="000000"/>
        </w:rPr>
      </w:pPr>
      <w:r>
        <w:rPr>
          <w:rFonts w:ascii="Times New Roman" w:hAnsi="Times New Roman" w:eastAsia="黑体" w:cs="Times New Roman"/>
          <w:color w:val="000000"/>
        </w:rPr>
        <w:t>表2-2  上海市钢铁企业主要装备水平情况</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46"/>
        <w:gridCol w:w="1534"/>
        <w:gridCol w:w="1252"/>
        <w:gridCol w:w="1252"/>
        <w:gridCol w:w="1252"/>
        <w:gridCol w:w="1252"/>
        <w:gridCol w:w="873"/>
      </w:tblGrid>
      <w:tr w14:paraId="74045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482" w:type="pct"/>
            <w:gridSpan w:val="2"/>
            <w:shd w:val="clear" w:color="000000" w:fill="D9D9D9"/>
            <w:vAlign w:val="center"/>
          </w:tcPr>
          <w:p w14:paraId="132175E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b/>
                <w:bCs/>
                <w:color w:val="000000"/>
                <w:spacing w:val="-10"/>
                <w:sz w:val="22"/>
                <w:szCs w:val="20"/>
              </w:rPr>
            </w:pPr>
            <w:r>
              <w:rPr>
                <w:rFonts w:hint="eastAsia" w:ascii="Times New Roman" w:hAnsi="Times New Roman" w:cs="Times New Roman"/>
                <w:b/>
                <w:bCs/>
                <w:color w:val="000000"/>
                <w:spacing w:val="-10"/>
                <w:sz w:val="22"/>
                <w:szCs w:val="20"/>
              </w:rPr>
              <w:t>水平</w:t>
            </w:r>
          </w:p>
        </w:tc>
        <w:tc>
          <w:tcPr>
            <w:tcW w:w="749" w:type="pct"/>
            <w:shd w:val="clear" w:color="000000" w:fill="D9D9D9"/>
            <w:vAlign w:val="center"/>
          </w:tcPr>
          <w:p w14:paraId="1CD5DA9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b/>
                <w:bCs/>
                <w:color w:val="000000"/>
                <w:spacing w:val="-10"/>
                <w:sz w:val="22"/>
                <w:szCs w:val="20"/>
              </w:rPr>
            </w:pPr>
            <w:r>
              <w:rPr>
                <w:rFonts w:hint="eastAsia" w:ascii="Times New Roman" w:hAnsi="Times New Roman" w:cs="Times New Roman"/>
                <w:b/>
                <w:bCs/>
                <w:color w:val="000000"/>
                <w:spacing w:val="-10"/>
                <w:sz w:val="22"/>
                <w:szCs w:val="20"/>
              </w:rPr>
              <w:t>领先水平</w:t>
            </w:r>
          </w:p>
        </w:tc>
        <w:tc>
          <w:tcPr>
            <w:tcW w:w="749" w:type="pct"/>
            <w:shd w:val="clear" w:color="000000" w:fill="D9D9D9"/>
            <w:vAlign w:val="center"/>
          </w:tcPr>
          <w:p w14:paraId="77732A3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b/>
                <w:bCs/>
                <w:color w:val="000000"/>
                <w:spacing w:val="-10"/>
                <w:sz w:val="22"/>
                <w:szCs w:val="20"/>
              </w:rPr>
            </w:pPr>
            <w:r>
              <w:rPr>
                <w:rFonts w:hint="eastAsia" w:ascii="Times New Roman" w:hAnsi="Times New Roman" w:cs="Times New Roman"/>
                <w:b/>
                <w:bCs/>
                <w:color w:val="000000"/>
                <w:spacing w:val="-10"/>
                <w:sz w:val="22"/>
                <w:szCs w:val="20"/>
              </w:rPr>
              <w:t>先进水平</w:t>
            </w:r>
          </w:p>
        </w:tc>
        <w:tc>
          <w:tcPr>
            <w:tcW w:w="749" w:type="pct"/>
            <w:shd w:val="clear" w:color="000000" w:fill="D9D9D9"/>
            <w:vAlign w:val="center"/>
          </w:tcPr>
          <w:p w14:paraId="7EB1737F">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b/>
                <w:bCs/>
                <w:color w:val="000000"/>
                <w:spacing w:val="-10"/>
                <w:sz w:val="22"/>
                <w:szCs w:val="20"/>
              </w:rPr>
            </w:pPr>
            <w:r>
              <w:rPr>
                <w:rFonts w:hint="eastAsia" w:ascii="Times New Roman" w:hAnsi="Times New Roman" w:cs="Times New Roman"/>
                <w:b/>
                <w:bCs/>
                <w:color w:val="000000"/>
                <w:spacing w:val="-10"/>
                <w:sz w:val="22"/>
                <w:szCs w:val="20"/>
              </w:rPr>
              <w:t>一般水平</w:t>
            </w:r>
          </w:p>
        </w:tc>
        <w:tc>
          <w:tcPr>
            <w:tcW w:w="749" w:type="pct"/>
            <w:shd w:val="clear" w:color="000000" w:fill="D9D9D9"/>
            <w:vAlign w:val="center"/>
          </w:tcPr>
          <w:p w14:paraId="66834FE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b/>
                <w:bCs/>
                <w:color w:val="000000"/>
                <w:spacing w:val="-10"/>
                <w:sz w:val="22"/>
                <w:szCs w:val="20"/>
              </w:rPr>
            </w:pPr>
            <w:r>
              <w:rPr>
                <w:rFonts w:hint="eastAsia" w:ascii="Times New Roman" w:hAnsi="Times New Roman" w:cs="Times New Roman"/>
                <w:b/>
                <w:bCs/>
                <w:color w:val="000000"/>
                <w:spacing w:val="-10"/>
                <w:sz w:val="22"/>
                <w:szCs w:val="20"/>
              </w:rPr>
              <w:t>落后水平</w:t>
            </w:r>
          </w:p>
        </w:tc>
        <w:tc>
          <w:tcPr>
            <w:tcW w:w="522" w:type="pct"/>
            <w:shd w:val="clear" w:color="000000" w:fill="D9D9D9"/>
            <w:vAlign w:val="center"/>
          </w:tcPr>
          <w:p w14:paraId="03488860">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r>
      <w:tr w14:paraId="10E92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restart"/>
            <w:shd w:val="clear" w:color="000000" w:fill="FFFFFF"/>
            <w:vAlign w:val="center"/>
          </w:tcPr>
          <w:p w14:paraId="6542CE5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烧结</w:t>
            </w:r>
          </w:p>
        </w:tc>
        <w:tc>
          <w:tcPr>
            <w:tcW w:w="917" w:type="pct"/>
            <w:shd w:val="clear" w:color="000000" w:fill="D9D9D9"/>
            <w:vAlign w:val="center"/>
          </w:tcPr>
          <w:p w14:paraId="3C6672B5">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装备水平</w:t>
            </w:r>
          </w:p>
        </w:tc>
        <w:tc>
          <w:tcPr>
            <w:tcW w:w="749" w:type="pct"/>
            <w:shd w:val="clear" w:color="000000" w:fill="D9D9D9"/>
            <w:vAlign w:val="center"/>
          </w:tcPr>
          <w:p w14:paraId="40E7938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360平方米及以上</w:t>
            </w:r>
          </w:p>
        </w:tc>
        <w:tc>
          <w:tcPr>
            <w:tcW w:w="749" w:type="pct"/>
            <w:shd w:val="clear" w:color="000000" w:fill="D9D9D9"/>
            <w:vAlign w:val="center"/>
          </w:tcPr>
          <w:p w14:paraId="30371EC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280-359平方米</w:t>
            </w:r>
          </w:p>
        </w:tc>
        <w:tc>
          <w:tcPr>
            <w:tcW w:w="749" w:type="pct"/>
            <w:shd w:val="clear" w:color="000000" w:fill="D9D9D9"/>
            <w:vAlign w:val="center"/>
          </w:tcPr>
          <w:p w14:paraId="69100D9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180-279平方米</w:t>
            </w:r>
          </w:p>
        </w:tc>
        <w:tc>
          <w:tcPr>
            <w:tcW w:w="749" w:type="pct"/>
            <w:shd w:val="clear" w:color="000000" w:fill="D9D9D9"/>
            <w:vAlign w:val="center"/>
          </w:tcPr>
          <w:p w14:paraId="6AB5711F">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180平方米以下</w:t>
            </w:r>
          </w:p>
        </w:tc>
        <w:tc>
          <w:tcPr>
            <w:tcW w:w="522" w:type="pct"/>
            <w:shd w:val="clear" w:color="000000" w:fill="D9D9D9"/>
            <w:vAlign w:val="center"/>
          </w:tcPr>
          <w:p w14:paraId="504FFDC8">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合计</w:t>
            </w:r>
          </w:p>
        </w:tc>
      </w:tr>
      <w:tr w14:paraId="3D736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139AD20D">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6BF15C4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数量（台）</w:t>
            </w:r>
          </w:p>
        </w:tc>
        <w:tc>
          <w:tcPr>
            <w:tcW w:w="749" w:type="pct"/>
            <w:shd w:val="clear" w:color="000000" w:fill="FFFFFF"/>
            <w:vAlign w:val="center"/>
          </w:tcPr>
          <w:p w14:paraId="16A1C03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3</w:t>
            </w:r>
          </w:p>
        </w:tc>
        <w:tc>
          <w:tcPr>
            <w:tcW w:w="749" w:type="pct"/>
            <w:shd w:val="clear" w:color="000000" w:fill="FFFFFF"/>
            <w:vAlign w:val="center"/>
          </w:tcPr>
          <w:p w14:paraId="383832A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000000" w:fill="FFFFFF"/>
            <w:vAlign w:val="center"/>
          </w:tcPr>
          <w:p w14:paraId="4195970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000000" w:fill="FFFFFF"/>
            <w:vAlign w:val="center"/>
          </w:tcPr>
          <w:p w14:paraId="39FFD0C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223AAFCB">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3</w:t>
            </w:r>
          </w:p>
        </w:tc>
      </w:tr>
      <w:tr w14:paraId="26D1B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194560EB">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33E0F7A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000000" w:fill="FFFFFF"/>
            <w:vAlign w:val="center"/>
          </w:tcPr>
          <w:p w14:paraId="1A3840A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000000" w:fill="FFFFFF"/>
            <w:vAlign w:val="center"/>
          </w:tcPr>
          <w:p w14:paraId="3B87C0D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000000" w:fill="FFFFFF"/>
            <w:vAlign w:val="center"/>
          </w:tcPr>
          <w:p w14:paraId="713046C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000000" w:fill="FFFFFF"/>
            <w:vAlign w:val="center"/>
          </w:tcPr>
          <w:p w14:paraId="0A3C8768">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27F32FE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443DB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1310066E">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451B0D1D">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产能（万吨）</w:t>
            </w:r>
          </w:p>
        </w:tc>
        <w:tc>
          <w:tcPr>
            <w:tcW w:w="749" w:type="pct"/>
            <w:shd w:val="clear" w:color="000000" w:fill="FFFFFF"/>
            <w:vAlign w:val="center"/>
          </w:tcPr>
          <w:p w14:paraId="720D9B3A">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2199</w:t>
            </w:r>
          </w:p>
        </w:tc>
        <w:tc>
          <w:tcPr>
            <w:tcW w:w="749" w:type="pct"/>
            <w:shd w:val="clear" w:color="000000" w:fill="FFFFFF"/>
            <w:vAlign w:val="center"/>
          </w:tcPr>
          <w:p w14:paraId="7684527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000000" w:fill="FFFFFF"/>
            <w:vAlign w:val="center"/>
          </w:tcPr>
          <w:p w14:paraId="34FB193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000000" w:fill="FFFFFF"/>
            <w:vAlign w:val="center"/>
          </w:tcPr>
          <w:p w14:paraId="1172525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43EF8BF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2199</w:t>
            </w:r>
          </w:p>
        </w:tc>
      </w:tr>
      <w:tr w14:paraId="14C6C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0E89C023">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0D94FA5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000000" w:fill="FFFFFF"/>
            <w:vAlign w:val="center"/>
          </w:tcPr>
          <w:p w14:paraId="663DBA4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000000" w:fill="FFFFFF"/>
            <w:vAlign w:val="center"/>
          </w:tcPr>
          <w:p w14:paraId="508C454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000000" w:fill="FFFFFF"/>
            <w:vAlign w:val="center"/>
          </w:tcPr>
          <w:p w14:paraId="7BB7FCEF">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000000" w:fill="FFFFFF"/>
            <w:vAlign w:val="center"/>
          </w:tcPr>
          <w:p w14:paraId="62DABE7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5D6EC81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47704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restart"/>
            <w:shd w:val="clear" w:color="auto" w:fill="auto"/>
            <w:vAlign w:val="center"/>
          </w:tcPr>
          <w:p w14:paraId="3DA658C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高炉</w:t>
            </w:r>
          </w:p>
        </w:tc>
        <w:tc>
          <w:tcPr>
            <w:tcW w:w="917" w:type="pct"/>
            <w:shd w:val="clear" w:color="000000" w:fill="D9D9D9"/>
            <w:vAlign w:val="center"/>
          </w:tcPr>
          <w:p w14:paraId="131A309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装备水平</w:t>
            </w:r>
          </w:p>
        </w:tc>
        <w:tc>
          <w:tcPr>
            <w:tcW w:w="749" w:type="pct"/>
            <w:shd w:val="clear" w:color="000000" w:fill="D9D9D9"/>
            <w:vAlign w:val="center"/>
          </w:tcPr>
          <w:p w14:paraId="685BBB0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4000立方米及以上</w:t>
            </w:r>
          </w:p>
        </w:tc>
        <w:tc>
          <w:tcPr>
            <w:tcW w:w="749" w:type="pct"/>
            <w:shd w:val="clear" w:color="000000" w:fill="D9D9D9"/>
            <w:vAlign w:val="center"/>
          </w:tcPr>
          <w:p w14:paraId="7517BCA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3000-3999立方米</w:t>
            </w:r>
          </w:p>
        </w:tc>
        <w:tc>
          <w:tcPr>
            <w:tcW w:w="749" w:type="pct"/>
            <w:shd w:val="clear" w:color="000000" w:fill="D9D9D9"/>
            <w:vAlign w:val="center"/>
          </w:tcPr>
          <w:p w14:paraId="1C91E57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1200-2999立方米</w:t>
            </w:r>
          </w:p>
        </w:tc>
        <w:tc>
          <w:tcPr>
            <w:tcW w:w="749" w:type="pct"/>
            <w:shd w:val="clear" w:color="000000" w:fill="D9D9D9"/>
            <w:vAlign w:val="center"/>
          </w:tcPr>
          <w:p w14:paraId="5FA0C1E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1200立方米以下</w:t>
            </w:r>
          </w:p>
        </w:tc>
        <w:tc>
          <w:tcPr>
            <w:tcW w:w="522" w:type="pct"/>
            <w:shd w:val="clear" w:color="000000" w:fill="D9D9D9"/>
            <w:vAlign w:val="center"/>
          </w:tcPr>
          <w:p w14:paraId="235AE1D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合计</w:t>
            </w:r>
          </w:p>
        </w:tc>
      </w:tr>
      <w:tr w14:paraId="65EDB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20B99801">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2D8B34B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数量（座）</w:t>
            </w:r>
          </w:p>
        </w:tc>
        <w:tc>
          <w:tcPr>
            <w:tcW w:w="749" w:type="pct"/>
            <w:vAlign w:val="center"/>
          </w:tcPr>
          <w:p w14:paraId="3F927B8B">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4</w:t>
            </w:r>
          </w:p>
        </w:tc>
        <w:tc>
          <w:tcPr>
            <w:tcW w:w="749" w:type="pct"/>
            <w:vAlign w:val="center"/>
          </w:tcPr>
          <w:p w14:paraId="22BBD38A">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3106AC2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6C95BB6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vAlign w:val="center"/>
          </w:tcPr>
          <w:p w14:paraId="1D29E6F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4</w:t>
            </w:r>
          </w:p>
        </w:tc>
      </w:tr>
      <w:tr w14:paraId="279F4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565" w:type="pct"/>
            <w:vMerge w:val="continue"/>
            <w:shd w:val="clear" w:color="auto" w:fill="auto"/>
            <w:vAlign w:val="center"/>
          </w:tcPr>
          <w:p w14:paraId="6B743957">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066B550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auto" w:fill="auto"/>
            <w:vAlign w:val="center"/>
          </w:tcPr>
          <w:p w14:paraId="51F1A1DD">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auto" w:fill="auto"/>
            <w:vAlign w:val="center"/>
          </w:tcPr>
          <w:p w14:paraId="345B3ADF">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0835BA9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471EDE1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4AEF6AD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5CA4DA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6A0FC12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p>
        </w:tc>
        <w:tc>
          <w:tcPr>
            <w:tcW w:w="917" w:type="pct"/>
            <w:shd w:val="clear" w:color="000000" w:fill="FFFFFF"/>
            <w:vAlign w:val="center"/>
          </w:tcPr>
          <w:p w14:paraId="2278524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产能（万吨）</w:t>
            </w:r>
          </w:p>
        </w:tc>
        <w:tc>
          <w:tcPr>
            <w:tcW w:w="749" w:type="pct"/>
            <w:vAlign w:val="center"/>
          </w:tcPr>
          <w:p w14:paraId="343054C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1470.5</w:t>
            </w:r>
          </w:p>
        </w:tc>
        <w:tc>
          <w:tcPr>
            <w:tcW w:w="749" w:type="pct"/>
            <w:vAlign w:val="center"/>
          </w:tcPr>
          <w:p w14:paraId="022C50B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568E9F2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3A6D2DF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vAlign w:val="center"/>
          </w:tcPr>
          <w:p w14:paraId="52E2AFC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1470.5</w:t>
            </w:r>
          </w:p>
        </w:tc>
      </w:tr>
      <w:tr w14:paraId="581F9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480BB6B6">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30A29F9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auto" w:fill="auto"/>
            <w:vAlign w:val="center"/>
          </w:tcPr>
          <w:p w14:paraId="4161F96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auto" w:fill="auto"/>
            <w:vAlign w:val="center"/>
          </w:tcPr>
          <w:p w14:paraId="7F11095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3BDD2FF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3D98084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1F3BFE5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5D8A8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restart"/>
            <w:shd w:val="clear" w:color="auto" w:fill="auto"/>
            <w:vAlign w:val="center"/>
          </w:tcPr>
          <w:p w14:paraId="03858D8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转炉</w:t>
            </w:r>
          </w:p>
        </w:tc>
        <w:tc>
          <w:tcPr>
            <w:tcW w:w="917" w:type="pct"/>
            <w:shd w:val="clear" w:color="000000" w:fill="D9D9D9"/>
            <w:vAlign w:val="center"/>
          </w:tcPr>
          <w:p w14:paraId="038061A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装备水平</w:t>
            </w:r>
          </w:p>
        </w:tc>
        <w:tc>
          <w:tcPr>
            <w:tcW w:w="749" w:type="pct"/>
            <w:shd w:val="clear" w:color="000000" w:fill="D9D9D9"/>
            <w:vAlign w:val="center"/>
          </w:tcPr>
          <w:p w14:paraId="02857B5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200吨及以上</w:t>
            </w:r>
          </w:p>
        </w:tc>
        <w:tc>
          <w:tcPr>
            <w:tcW w:w="749" w:type="pct"/>
            <w:shd w:val="clear" w:color="000000" w:fill="D9D9D9"/>
            <w:vAlign w:val="center"/>
          </w:tcPr>
          <w:p w14:paraId="2DE19CE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150-199吨</w:t>
            </w:r>
          </w:p>
        </w:tc>
        <w:tc>
          <w:tcPr>
            <w:tcW w:w="749" w:type="pct"/>
            <w:shd w:val="clear" w:color="000000" w:fill="D9D9D9"/>
            <w:vAlign w:val="center"/>
          </w:tcPr>
          <w:p w14:paraId="5A29300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100-149吨</w:t>
            </w:r>
          </w:p>
        </w:tc>
        <w:tc>
          <w:tcPr>
            <w:tcW w:w="749" w:type="pct"/>
            <w:shd w:val="clear" w:color="000000" w:fill="D9D9D9"/>
            <w:vAlign w:val="center"/>
          </w:tcPr>
          <w:p w14:paraId="596947D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100吨以下</w:t>
            </w:r>
          </w:p>
        </w:tc>
        <w:tc>
          <w:tcPr>
            <w:tcW w:w="522" w:type="pct"/>
            <w:shd w:val="clear" w:color="000000" w:fill="D9D9D9"/>
            <w:vAlign w:val="center"/>
          </w:tcPr>
          <w:p w14:paraId="7FA763D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合计</w:t>
            </w:r>
          </w:p>
        </w:tc>
      </w:tr>
      <w:tr w14:paraId="21374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1BB835CF">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16E01C1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数量（座）</w:t>
            </w:r>
          </w:p>
        </w:tc>
        <w:tc>
          <w:tcPr>
            <w:tcW w:w="749" w:type="pct"/>
            <w:vAlign w:val="center"/>
          </w:tcPr>
          <w:p w14:paraId="7B395A7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6</w:t>
            </w:r>
          </w:p>
        </w:tc>
        <w:tc>
          <w:tcPr>
            <w:tcW w:w="749" w:type="pct"/>
            <w:vAlign w:val="center"/>
          </w:tcPr>
          <w:p w14:paraId="27211D4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581D724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17DFE005">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vAlign w:val="center"/>
          </w:tcPr>
          <w:p w14:paraId="0A8C410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6</w:t>
            </w:r>
          </w:p>
        </w:tc>
      </w:tr>
      <w:tr w14:paraId="5FD24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35832DB0">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4D6C458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auto" w:fill="auto"/>
            <w:vAlign w:val="center"/>
          </w:tcPr>
          <w:p w14:paraId="3EBF961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auto" w:fill="auto"/>
            <w:vAlign w:val="center"/>
          </w:tcPr>
          <w:p w14:paraId="02E31F8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6236411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447D056A">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60B1726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75670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1AC5E563">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6E3F5B9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产能（万吨）</w:t>
            </w:r>
          </w:p>
        </w:tc>
        <w:tc>
          <w:tcPr>
            <w:tcW w:w="749" w:type="pct"/>
            <w:vAlign w:val="center"/>
          </w:tcPr>
          <w:p w14:paraId="45BA9CD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1568.1</w:t>
            </w:r>
          </w:p>
        </w:tc>
        <w:tc>
          <w:tcPr>
            <w:tcW w:w="749" w:type="pct"/>
            <w:vAlign w:val="center"/>
          </w:tcPr>
          <w:p w14:paraId="2A81B62A">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7B44087A">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4EFE4BDD">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vAlign w:val="center"/>
          </w:tcPr>
          <w:p w14:paraId="5531D71F">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1568.1</w:t>
            </w:r>
          </w:p>
        </w:tc>
      </w:tr>
      <w:tr w14:paraId="24288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6965004D">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61F58318">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auto" w:fill="auto"/>
            <w:vAlign w:val="center"/>
          </w:tcPr>
          <w:p w14:paraId="1D5ADD6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auto" w:fill="auto"/>
            <w:vAlign w:val="center"/>
          </w:tcPr>
          <w:p w14:paraId="12E02FFA">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0E6EB24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5F967D6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7F12823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0B540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restart"/>
            <w:shd w:val="clear" w:color="auto" w:fill="auto"/>
            <w:vAlign w:val="center"/>
          </w:tcPr>
          <w:p w14:paraId="54E1340D">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电炉</w:t>
            </w:r>
          </w:p>
        </w:tc>
        <w:tc>
          <w:tcPr>
            <w:tcW w:w="917" w:type="pct"/>
            <w:shd w:val="clear" w:color="000000" w:fill="D9D9D9"/>
            <w:vAlign w:val="center"/>
          </w:tcPr>
          <w:p w14:paraId="765117D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装备水平</w:t>
            </w:r>
          </w:p>
        </w:tc>
        <w:tc>
          <w:tcPr>
            <w:tcW w:w="749" w:type="pct"/>
            <w:shd w:val="clear" w:color="000000" w:fill="D9D9D9"/>
            <w:vAlign w:val="center"/>
          </w:tcPr>
          <w:p w14:paraId="1F9FDE8A">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100吨及</w:t>
            </w:r>
          </w:p>
          <w:p w14:paraId="2324A14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以上</w:t>
            </w:r>
          </w:p>
        </w:tc>
        <w:tc>
          <w:tcPr>
            <w:tcW w:w="749" w:type="pct"/>
            <w:shd w:val="clear" w:color="000000" w:fill="D9D9D9"/>
            <w:vAlign w:val="center"/>
          </w:tcPr>
          <w:p w14:paraId="5125EBA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75-99吨</w:t>
            </w:r>
          </w:p>
        </w:tc>
        <w:tc>
          <w:tcPr>
            <w:tcW w:w="749" w:type="pct"/>
            <w:shd w:val="clear" w:color="000000" w:fill="D9D9D9"/>
            <w:vAlign w:val="center"/>
          </w:tcPr>
          <w:p w14:paraId="1A41D60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60-74吨</w:t>
            </w:r>
          </w:p>
        </w:tc>
        <w:tc>
          <w:tcPr>
            <w:tcW w:w="749" w:type="pct"/>
            <w:shd w:val="clear" w:color="000000" w:fill="D9D9D9"/>
            <w:vAlign w:val="center"/>
          </w:tcPr>
          <w:p w14:paraId="384B09D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60吨以下</w:t>
            </w:r>
          </w:p>
        </w:tc>
        <w:tc>
          <w:tcPr>
            <w:tcW w:w="522" w:type="pct"/>
            <w:shd w:val="clear" w:color="000000" w:fill="D9D9D9"/>
            <w:vAlign w:val="center"/>
          </w:tcPr>
          <w:p w14:paraId="5164E6D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合计</w:t>
            </w:r>
          </w:p>
        </w:tc>
      </w:tr>
      <w:tr w14:paraId="39403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57968237">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01DDE00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数量（座）</w:t>
            </w:r>
          </w:p>
        </w:tc>
        <w:tc>
          <w:tcPr>
            <w:tcW w:w="749" w:type="pct"/>
            <w:vAlign w:val="center"/>
          </w:tcPr>
          <w:p w14:paraId="391F645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2</w:t>
            </w:r>
          </w:p>
        </w:tc>
        <w:tc>
          <w:tcPr>
            <w:tcW w:w="749" w:type="pct"/>
            <w:vAlign w:val="center"/>
          </w:tcPr>
          <w:p w14:paraId="07762FB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3B75915F">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6683767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vAlign w:val="center"/>
          </w:tcPr>
          <w:p w14:paraId="27CA8795">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2</w:t>
            </w:r>
          </w:p>
        </w:tc>
      </w:tr>
      <w:tr w14:paraId="1189D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2BF8EED5">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6B78129B">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auto" w:fill="auto"/>
            <w:vAlign w:val="center"/>
          </w:tcPr>
          <w:p w14:paraId="45CA2728">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auto" w:fill="auto"/>
            <w:vAlign w:val="center"/>
          </w:tcPr>
          <w:p w14:paraId="0DA04535">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4385FCA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314B098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3487CE3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13220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42A7DC20">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475BD8A5">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产能（万吨）</w:t>
            </w:r>
          </w:p>
        </w:tc>
        <w:tc>
          <w:tcPr>
            <w:tcW w:w="749" w:type="pct"/>
            <w:vAlign w:val="center"/>
          </w:tcPr>
          <w:p w14:paraId="36C39B18">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204</w:t>
            </w:r>
          </w:p>
        </w:tc>
        <w:tc>
          <w:tcPr>
            <w:tcW w:w="749" w:type="pct"/>
            <w:vAlign w:val="center"/>
          </w:tcPr>
          <w:p w14:paraId="2A6EEB5B">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3AF1AC0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vAlign w:val="center"/>
          </w:tcPr>
          <w:p w14:paraId="192CA06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vAlign w:val="center"/>
          </w:tcPr>
          <w:p w14:paraId="2DB0891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204</w:t>
            </w:r>
          </w:p>
        </w:tc>
      </w:tr>
      <w:tr w14:paraId="7AD7D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5953F8FC">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217CB3B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auto" w:fill="auto"/>
            <w:vAlign w:val="center"/>
          </w:tcPr>
          <w:p w14:paraId="2F53373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auto" w:fill="auto"/>
            <w:vAlign w:val="center"/>
          </w:tcPr>
          <w:p w14:paraId="513A166D">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793856A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05D1C26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5BE9DAB5">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4A9BC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restart"/>
            <w:shd w:val="clear" w:color="auto" w:fill="auto"/>
            <w:vAlign w:val="center"/>
          </w:tcPr>
          <w:p w14:paraId="31196BB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焦化</w:t>
            </w:r>
          </w:p>
        </w:tc>
        <w:tc>
          <w:tcPr>
            <w:tcW w:w="917" w:type="pct"/>
            <w:shd w:val="clear" w:color="000000" w:fill="FFFFFF"/>
            <w:vAlign w:val="center"/>
          </w:tcPr>
          <w:p w14:paraId="10A0F6DB">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装备水平</w:t>
            </w:r>
          </w:p>
        </w:tc>
        <w:tc>
          <w:tcPr>
            <w:tcW w:w="749" w:type="pct"/>
            <w:shd w:val="clear" w:color="auto" w:fill="auto"/>
            <w:vAlign w:val="center"/>
          </w:tcPr>
          <w:p w14:paraId="3C1CBACD">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7米及以上</w:t>
            </w:r>
          </w:p>
        </w:tc>
        <w:tc>
          <w:tcPr>
            <w:tcW w:w="749" w:type="pct"/>
            <w:shd w:val="clear" w:color="auto" w:fill="auto"/>
            <w:vAlign w:val="center"/>
          </w:tcPr>
          <w:p w14:paraId="1F1508DB">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5-7米</w:t>
            </w:r>
          </w:p>
        </w:tc>
        <w:tc>
          <w:tcPr>
            <w:tcW w:w="749" w:type="pct"/>
            <w:shd w:val="clear" w:color="auto" w:fill="auto"/>
            <w:vAlign w:val="center"/>
          </w:tcPr>
          <w:p w14:paraId="2F275B9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4.3-5米</w:t>
            </w:r>
          </w:p>
        </w:tc>
        <w:tc>
          <w:tcPr>
            <w:tcW w:w="749" w:type="pct"/>
            <w:shd w:val="clear" w:color="auto" w:fill="auto"/>
            <w:vAlign w:val="center"/>
          </w:tcPr>
          <w:p w14:paraId="4C4AE4D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4.3米以下</w:t>
            </w:r>
          </w:p>
        </w:tc>
        <w:tc>
          <w:tcPr>
            <w:tcW w:w="522" w:type="pct"/>
            <w:shd w:val="clear" w:color="000000" w:fill="FFFFFF"/>
            <w:vAlign w:val="center"/>
          </w:tcPr>
          <w:p w14:paraId="3184CB4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合计</w:t>
            </w:r>
          </w:p>
        </w:tc>
      </w:tr>
      <w:tr w14:paraId="6AD9C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330A9C08">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09FBF74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spacing w:val="-10"/>
                <w:sz w:val="22"/>
                <w:szCs w:val="20"/>
              </w:rPr>
            </w:pPr>
            <w:r>
              <w:rPr>
                <w:rFonts w:hint="eastAsia" w:ascii="Times New Roman" w:hAnsi="Times New Roman" w:cs="Times New Roman"/>
                <w:spacing w:val="-10"/>
                <w:sz w:val="22"/>
                <w:szCs w:val="20"/>
              </w:rPr>
              <w:t>数量（座）</w:t>
            </w:r>
          </w:p>
        </w:tc>
        <w:tc>
          <w:tcPr>
            <w:tcW w:w="749" w:type="pct"/>
            <w:shd w:val="clear" w:color="auto" w:fill="auto"/>
            <w:vAlign w:val="center"/>
          </w:tcPr>
          <w:p w14:paraId="4001FDF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spacing w:val="-10"/>
                <w:sz w:val="22"/>
                <w:szCs w:val="20"/>
              </w:rPr>
            </w:pPr>
            <w:r>
              <w:rPr>
                <w:rFonts w:hint="eastAsia" w:ascii="Times New Roman" w:hAnsi="Times New Roman" w:cs="Times New Roman"/>
                <w:spacing w:val="-10"/>
                <w:sz w:val="22"/>
                <w:szCs w:val="20"/>
              </w:rPr>
              <w:t>0</w:t>
            </w:r>
          </w:p>
        </w:tc>
        <w:tc>
          <w:tcPr>
            <w:tcW w:w="749" w:type="pct"/>
            <w:shd w:val="clear" w:color="auto" w:fill="auto"/>
            <w:vAlign w:val="center"/>
          </w:tcPr>
          <w:p w14:paraId="3250A5D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spacing w:val="-10"/>
                <w:sz w:val="22"/>
                <w:szCs w:val="20"/>
              </w:rPr>
            </w:pPr>
            <w:r>
              <w:rPr>
                <w:rFonts w:hint="eastAsia" w:ascii="Times New Roman" w:hAnsi="Times New Roman" w:cs="Times New Roman"/>
                <w:spacing w:val="-10"/>
                <w:sz w:val="22"/>
                <w:szCs w:val="20"/>
              </w:rPr>
              <w:t>10</w:t>
            </w:r>
          </w:p>
        </w:tc>
        <w:tc>
          <w:tcPr>
            <w:tcW w:w="749" w:type="pct"/>
            <w:shd w:val="clear" w:color="auto" w:fill="auto"/>
            <w:vAlign w:val="center"/>
          </w:tcPr>
          <w:p w14:paraId="643337B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spacing w:val="-10"/>
                <w:sz w:val="22"/>
                <w:szCs w:val="20"/>
              </w:rPr>
            </w:pPr>
            <w:r>
              <w:rPr>
                <w:rFonts w:hint="eastAsia" w:ascii="Times New Roman" w:hAnsi="Times New Roman" w:cs="Times New Roman"/>
                <w:spacing w:val="-10"/>
                <w:sz w:val="22"/>
                <w:szCs w:val="20"/>
              </w:rPr>
              <w:t>0</w:t>
            </w:r>
          </w:p>
        </w:tc>
        <w:tc>
          <w:tcPr>
            <w:tcW w:w="749" w:type="pct"/>
            <w:shd w:val="clear" w:color="auto" w:fill="auto"/>
            <w:vAlign w:val="center"/>
          </w:tcPr>
          <w:p w14:paraId="6956191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spacing w:val="-10"/>
                <w:sz w:val="22"/>
                <w:szCs w:val="20"/>
              </w:rPr>
            </w:pPr>
            <w:r>
              <w:rPr>
                <w:rFonts w:hint="eastAsia" w:ascii="Times New Roman" w:hAnsi="Times New Roman" w:cs="Times New Roman"/>
                <w:spacing w:val="-10"/>
                <w:sz w:val="22"/>
                <w:szCs w:val="20"/>
              </w:rPr>
              <w:t>0</w:t>
            </w:r>
          </w:p>
        </w:tc>
        <w:tc>
          <w:tcPr>
            <w:tcW w:w="522" w:type="pct"/>
            <w:shd w:val="clear" w:color="000000" w:fill="FFFFFF"/>
            <w:vAlign w:val="center"/>
          </w:tcPr>
          <w:p w14:paraId="0D740A7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spacing w:val="-10"/>
                <w:sz w:val="22"/>
                <w:szCs w:val="20"/>
              </w:rPr>
            </w:pPr>
            <w:r>
              <w:rPr>
                <w:rFonts w:hint="eastAsia" w:ascii="Times New Roman" w:hAnsi="Times New Roman" w:cs="Times New Roman"/>
                <w:spacing w:val="-10"/>
                <w:sz w:val="22"/>
                <w:szCs w:val="20"/>
              </w:rPr>
              <w:t>10</w:t>
            </w:r>
          </w:p>
        </w:tc>
      </w:tr>
      <w:tr w14:paraId="3C3DE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6F11A140">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1F428B8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auto" w:fill="auto"/>
            <w:vAlign w:val="center"/>
          </w:tcPr>
          <w:p w14:paraId="39B16508">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3EE61A79">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auto" w:fill="auto"/>
            <w:vAlign w:val="center"/>
          </w:tcPr>
          <w:p w14:paraId="3DC269C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0AE54E3F">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73929DE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r w14:paraId="0617D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294D46A0">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7F33BF73">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产能（万吨）</w:t>
            </w:r>
          </w:p>
        </w:tc>
        <w:tc>
          <w:tcPr>
            <w:tcW w:w="749" w:type="pct"/>
            <w:shd w:val="clear" w:color="auto" w:fill="auto"/>
            <w:vAlign w:val="center"/>
          </w:tcPr>
          <w:p w14:paraId="521ACE00">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0C368608">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553</w:t>
            </w:r>
          </w:p>
        </w:tc>
        <w:tc>
          <w:tcPr>
            <w:tcW w:w="749" w:type="pct"/>
            <w:shd w:val="clear" w:color="auto" w:fill="auto"/>
            <w:vAlign w:val="center"/>
          </w:tcPr>
          <w:p w14:paraId="75096CE6">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26F869EC">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604D112E">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553</w:t>
            </w:r>
          </w:p>
        </w:tc>
      </w:tr>
      <w:tr w14:paraId="08C19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shd w:val="clear" w:color="auto" w:fill="auto"/>
            <w:vAlign w:val="center"/>
          </w:tcPr>
          <w:p w14:paraId="123BF403">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color w:val="000000"/>
                <w:spacing w:val="-10"/>
                <w:sz w:val="22"/>
                <w:szCs w:val="20"/>
              </w:rPr>
            </w:pPr>
          </w:p>
        </w:tc>
        <w:tc>
          <w:tcPr>
            <w:tcW w:w="917" w:type="pct"/>
            <w:shd w:val="clear" w:color="000000" w:fill="FFFFFF"/>
            <w:vAlign w:val="center"/>
          </w:tcPr>
          <w:p w14:paraId="0828FE07">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占比</w:t>
            </w:r>
          </w:p>
        </w:tc>
        <w:tc>
          <w:tcPr>
            <w:tcW w:w="749" w:type="pct"/>
            <w:shd w:val="clear" w:color="auto" w:fill="auto"/>
            <w:vAlign w:val="center"/>
          </w:tcPr>
          <w:p w14:paraId="229B44A4">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538E84C2">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c>
          <w:tcPr>
            <w:tcW w:w="749" w:type="pct"/>
            <w:shd w:val="clear" w:color="auto" w:fill="auto"/>
            <w:vAlign w:val="center"/>
          </w:tcPr>
          <w:p w14:paraId="241617FB">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749" w:type="pct"/>
            <w:shd w:val="clear" w:color="auto" w:fill="auto"/>
            <w:vAlign w:val="center"/>
          </w:tcPr>
          <w:p w14:paraId="74472061">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0</w:t>
            </w:r>
          </w:p>
        </w:tc>
        <w:tc>
          <w:tcPr>
            <w:tcW w:w="522" w:type="pct"/>
            <w:shd w:val="clear" w:color="000000" w:fill="FFFFFF"/>
            <w:vAlign w:val="center"/>
          </w:tcPr>
          <w:p w14:paraId="4E4FC9FF">
            <w:pPr>
              <w:keepNext w:val="0"/>
              <w:keepLines w:val="0"/>
              <w:widowControl/>
              <w:suppressLineNumbers w:val="0"/>
              <w:spacing w:before="0" w:beforeAutospacing="0" w:after="0" w:afterAutospacing="0" w:line="0" w:lineRule="atLeast"/>
              <w:ind w:left="0" w:right="0"/>
              <w:jc w:val="center"/>
              <w:rPr>
                <w:rFonts w:hint="eastAsia" w:ascii="Times New Roman" w:hAnsi="Times New Roman" w:cs="Times New Roman"/>
                <w:color w:val="000000"/>
                <w:spacing w:val="-10"/>
                <w:sz w:val="22"/>
                <w:szCs w:val="20"/>
              </w:rPr>
            </w:pPr>
            <w:r>
              <w:rPr>
                <w:rFonts w:hint="eastAsia" w:ascii="Times New Roman" w:hAnsi="Times New Roman" w:cs="Times New Roman"/>
                <w:color w:val="000000"/>
                <w:spacing w:val="-10"/>
                <w:sz w:val="22"/>
                <w:szCs w:val="20"/>
              </w:rPr>
              <w:t>100</w:t>
            </w:r>
          </w:p>
        </w:tc>
      </w:tr>
    </w:tbl>
    <w:p w14:paraId="467C6667">
      <w:pPr>
        <w:pStyle w:val="37"/>
        <w:spacing w:before="156"/>
      </w:pPr>
      <w:bookmarkStart w:id="10" w:name="_Toc217058285"/>
      <w:r>
        <w:t>3.2 本市钢铁行业发展趋势</w:t>
      </w:r>
      <w:bookmarkEnd w:id="10"/>
    </w:p>
    <w:p w14:paraId="7C019D12">
      <w:pPr>
        <w:pStyle w:val="13"/>
        <w:spacing w:line="360" w:lineRule="auto"/>
        <w:ind w:firstLine="480" w:firstLineChars="200"/>
        <w:jc w:val="both"/>
        <w:rPr>
          <w:rFonts w:ascii="Times New Roman" w:hAnsi="Times New Roman"/>
        </w:rPr>
      </w:pPr>
      <w:r>
        <w:rPr>
          <w:rFonts w:ascii="Times New Roman" w:hAnsi="Times New Roman"/>
        </w:rPr>
        <w:t>根据我国钢铁产能管控政策，未来上海市不会再新增钢铁、焦化产能，我市钢铁行业未来发展趋势主要表现为以下几个方面：</w:t>
      </w:r>
    </w:p>
    <w:p w14:paraId="2C79ECF9">
      <w:pPr>
        <w:pStyle w:val="13"/>
        <w:spacing w:line="360" w:lineRule="auto"/>
        <w:ind w:firstLine="480" w:firstLineChars="200"/>
        <w:jc w:val="both"/>
        <w:rPr>
          <w:rFonts w:ascii="Times New Roman" w:hAnsi="Times New Roman"/>
        </w:rPr>
      </w:pPr>
      <w:r>
        <w:rPr>
          <w:rFonts w:ascii="Times New Roman" w:hAnsi="Times New Roman"/>
        </w:rPr>
        <w:t>（1）致力于技术创新和智能制造的持续推进。未来将继续加大研发投入，推动新型高强度、高性能钢材的开发，满足汽车、船舶、建筑等领域对钢材的高要求。此外，还将推动智能工厂的建设，通过深度应用人工智能、物联网和大数据分析等技术，强化生产过程的自动化和智能化，从而提高生产效率和产品质量，提高钢材高端产品市场占有率。</w:t>
      </w:r>
    </w:p>
    <w:p w14:paraId="4EA98436">
      <w:pPr>
        <w:pStyle w:val="13"/>
        <w:spacing w:line="360" w:lineRule="auto"/>
        <w:ind w:firstLine="480" w:firstLineChars="200"/>
        <w:jc w:val="both"/>
        <w:rPr>
          <w:rFonts w:ascii="Times New Roman" w:hAnsi="Times New Roman"/>
        </w:rPr>
      </w:pPr>
      <w:r>
        <w:rPr>
          <w:rFonts w:ascii="Times New Roman" w:hAnsi="Times New Roman"/>
        </w:rPr>
        <w:t>（2）继续注重绿色环保和可持续发展。进一步优化生产工艺，降低能源消耗和二氧化碳排放。加快研发和应用环保技术，如减污降碳协同治理技术、碳捕集、碳回收技术，力求在环保管理日益严格、精益求精的环境下，提升自身的环境管理水平，实现绿色低碳高质量发展目标。</w:t>
      </w:r>
    </w:p>
    <w:p w14:paraId="0D8D851F">
      <w:pPr>
        <w:pStyle w:val="38"/>
        <w:spacing w:before="156"/>
        <w:rPr>
          <w:rFonts w:eastAsia="宋体"/>
        </w:rPr>
      </w:pPr>
      <w:bookmarkStart w:id="11" w:name="_Toc217058286"/>
      <w:r>
        <w:rPr>
          <w:rFonts w:eastAsia="宋体"/>
        </w:rPr>
        <w:t>4 国内外相关标准及污染物控制技术</w:t>
      </w:r>
      <w:bookmarkEnd w:id="11"/>
    </w:p>
    <w:p w14:paraId="71AEF9C6">
      <w:pPr>
        <w:pStyle w:val="13"/>
        <w:spacing w:line="360" w:lineRule="auto"/>
        <w:ind w:firstLine="480" w:firstLineChars="200"/>
        <w:jc w:val="both"/>
        <w:rPr>
          <w:rFonts w:ascii="Times New Roman" w:hAnsi="Times New Roman"/>
        </w:rPr>
      </w:pPr>
      <w:r>
        <w:rPr>
          <w:rFonts w:ascii="Times New Roman" w:hAnsi="Times New Roman"/>
        </w:rPr>
        <w:t>国外发达国家如德国（BAT）、美国（NSPS）</w:t>
      </w:r>
      <w:r>
        <w:rPr>
          <w:rFonts w:hint="eastAsia" w:ascii="Times New Roman" w:hAnsi="Times New Roman"/>
        </w:rPr>
        <w:t>、日本</w:t>
      </w:r>
      <w:r>
        <w:rPr>
          <w:rFonts w:ascii="Times New Roman" w:hAnsi="Times New Roman"/>
        </w:rPr>
        <w:t>等均对钢铁行业设定了排放限值。在</w:t>
      </w:r>
      <w:r>
        <w:rPr>
          <w:rFonts w:hint="eastAsia" w:ascii="Times New Roman" w:hAnsi="Times New Roman"/>
        </w:rPr>
        <w:t>我国</w:t>
      </w:r>
      <w:r>
        <w:rPr>
          <w:rFonts w:ascii="Times New Roman" w:hAnsi="Times New Roman"/>
        </w:rPr>
        <w:t>国家标准层面，有《炼焦化学工业大气污染物排放标准》（GB 16171.1-2024）</w:t>
      </w:r>
      <w:r>
        <w:rPr>
          <w:rFonts w:hint="eastAsia" w:ascii="Times New Roman" w:hAnsi="Times New Roman"/>
        </w:rPr>
        <w:t>、</w:t>
      </w:r>
      <w:r>
        <w:rPr>
          <w:rFonts w:ascii="Times New Roman" w:hAnsi="Times New Roman"/>
        </w:rPr>
        <w:t>《钢铁烧结、球团工业大气污染物排放标准》（GB 28662-2012）及修改单、《炼铁工业大气污染物排放标准》（GB 28663-2012）、《炼钢工业大气污染物排放标准》（GB 28664-2012）、《轧钢工业大气污染物排放标准》（GB 28665-2012）及修改单。在地方标准层面，河北省《钢铁工业大气污染物超低排放标准》（DB13/2169-2018）正式实施时间为2019年1月1日，山东省《钢铁工业大气污染物排放标准》（DB37/990-2019）正式实施时间为2019年11月1日，河南省《钢铁工业大气污染物排放标准》（DB41/1954-2020）正式实施时间为2020年6月1日，山西省《钢铁工业大气污染物排放标准》（DB14/2249-2020）正式实施时间为2021年1月1日，天津市《钢铁工业大气污染物排放标准》（DB12/1120-2022）正式实施时间为2022年5月1日</w:t>
      </w:r>
      <w:r>
        <w:rPr>
          <w:rFonts w:hint="eastAsia" w:ascii="Times New Roman" w:hAnsi="Times New Roman"/>
        </w:rPr>
        <w:t>，</w:t>
      </w:r>
      <w:r>
        <w:rPr>
          <w:rFonts w:ascii="Times New Roman" w:hAnsi="Times New Roman"/>
        </w:rPr>
        <w:t>辽宁省</w:t>
      </w:r>
      <w:r>
        <w:rPr>
          <w:rFonts w:hint="eastAsia" w:ascii="Times New Roman" w:hAnsi="Times New Roman"/>
        </w:rPr>
        <w:t>《</w:t>
      </w:r>
      <w:r>
        <w:rPr>
          <w:rFonts w:ascii="Times New Roman" w:hAnsi="Times New Roman"/>
        </w:rPr>
        <w:t>钢铁工业大气污染物排放标准</w:t>
      </w:r>
      <w:r>
        <w:rPr>
          <w:rFonts w:hint="eastAsia" w:ascii="Times New Roman" w:hAnsi="Times New Roman"/>
        </w:rPr>
        <w:t>》</w:t>
      </w:r>
      <w:r>
        <w:rPr>
          <w:rFonts w:ascii="Times New Roman" w:hAnsi="Times New Roman"/>
        </w:rPr>
        <w:t>（DB21/4119-2025</w:t>
      </w:r>
      <w:r>
        <w:rPr>
          <w:rFonts w:hint="eastAsia" w:ascii="Times New Roman" w:hAnsi="Times New Roman"/>
        </w:rPr>
        <w:t>）正式</w:t>
      </w:r>
      <w:r>
        <w:rPr>
          <w:rFonts w:ascii="Times New Roman" w:hAnsi="Times New Roman"/>
        </w:rPr>
        <w:t>实施时间为</w:t>
      </w:r>
      <w:r>
        <w:rPr>
          <w:rFonts w:hint="eastAsia" w:ascii="Times New Roman" w:hAnsi="Times New Roman"/>
        </w:rPr>
        <w:t>2025年10月1日</w:t>
      </w:r>
      <w:r>
        <w:rPr>
          <w:rFonts w:ascii="Times New Roman" w:hAnsi="Times New Roman"/>
        </w:rPr>
        <w:t>。</w:t>
      </w:r>
    </w:p>
    <w:p w14:paraId="47E65B16">
      <w:pPr>
        <w:pStyle w:val="37"/>
        <w:spacing w:before="156"/>
      </w:pPr>
      <w:bookmarkStart w:id="12" w:name="_Toc217058287"/>
      <w:r>
        <w:t>4.1 美国、欧盟、日本标准</w:t>
      </w:r>
      <w:bookmarkEnd w:id="12"/>
    </w:p>
    <w:p w14:paraId="6C6C9CBA">
      <w:pPr>
        <w:pStyle w:val="13"/>
        <w:spacing w:line="360" w:lineRule="auto"/>
        <w:ind w:firstLine="480" w:firstLineChars="200"/>
        <w:rPr>
          <w:rFonts w:ascii="Times New Roman" w:hAnsi="Times New Roman"/>
        </w:rPr>
      </w:pPr>
      <w:r>
        <w:rPr>
          <w:rFonts w:ascii="Times New Roman" w:hAnsi="Times New Roman"/>
        </w:rPr>
        <w:t>（1）烧结与球团</w:t>
      </w:r>
    </w:p>
    <w:p w14:paraId="02875173">
      <w:pPr>
        <w:pStyle w:val="13"/>
        <w:spacing w:line="360" w:lineRule="auto"/>
        <w:ind w:firstLine="480" w:firstLineChars="200"/>
        <w:jc w:val="both"/>
        <w:rPr>
          <w:rFonts w:ascii="Times New Roman" w:hAnsi="Times New Roman"/>
        </w:rPr>
      </w:pPr>
      <w:r>
        <w:rPr>
          <w:rFonts w:ascii="Times New Roman" w:hAnsi="Times New Roman"/>
        </w:rPr>
        <w:t>我国现行国标颗粒物排放浓度与美国排放标准基本持平，优于法国，但是距离欧洲国家例如德国、奥地利仍有差距。SO</w:t>
      </w:r>
      <w:r>
        <w:rPr>
          <w:rFonts w:ascii="Times New Roman" w:hAnsi="Times New Roman"/>
          <w:vertAlign w:val="subscript"/>
        </w:rPr>
        <w:t>2</w:t>
      </w:r>
      <w:r>
        <w:rPr>
          <w:rFonts w:ascii="Times New Roman" w:hAnsi="Times New Roman"/>
        </w:rPr>
        <w:t>排放限值未达到美国排放限值要求，优于其他国家排放浓度限值要求。NO</w:t>
      </w:r>
      <w:r>
        <w:rPr>
          <w:rFonts w:ascii="Times New Roman" w:hAnsi="Times New Roman"/>
          <w:vertAlign w:val="subscript"/>
        </w:rPr>
        <w:t>X</w:t>
      </w:r>
      <w:r>
        <w:rPr>
          <w:rFonts w:ascii="Times New Roman" w:hAnsi="Times New Roman"/>
        </w:rPr>
        <w:t>排放限值未达到德国排放限值要求，基本等同或优于法国、奥地利等国家，具体限值对比情况见表 4-1。</w:t>
      </w:r>
    </w:p>
    <w:p w14:paraId="731F71AF">
      <w:pPr>
        <w:adjustRightInd w:val="0"/>
        <w:ind w:right="964"/>
        <w:jc w:val="center"/>
        <w:textAlignment w:val="baseline"/>
        <w:rPr>
          <w:rFonts w:ascii="Times New Roman" w:hAnsi="Times New Roman" w:cs="Times New Roman"/>
          <w:b/>
          <w:bCs/>
          <w:color w:val="000000"/>
          <w:szCs w:val="32"/>
        </w:rPr>
      </w:pPr>
      <w:r>
        <w:rPr>
          <w:rFonts w:ascii="Times New Roman" w:hAnsi="Times New Roman" w:cs="Times New Roman"/>
          <w:b/>
          <w:bCs/>
          <w:color w:val="000000"/>
          <w:szCs w:val="32"/>
        </w:rPr>
        <w:t>表4-1  烧结球团工序国外相关标准限值汇总表</w:t>
      </w:r>
    </w:p>
    <w:p w14:paraId="0EC29EAD">
      <w:pPr>
        <w:adjustRightInd w:val="0"/>
        <w:ind w:right="124"/>
        <w:jc w:val="right"/>
        <w:textAlignment w:val="baseline"/>
        <w:rPr>
          <w:rFonts w:ascii="Times New Roman" w:hAnsi="Times New Roman" w:cs="Times New Roman"/>
          <w:szCs w:val="21"/>
        </w:rPr>
      </w:pPr>
      <w:r>
        <w:rPr>
          <w:rFonts w:ascii="Times New Roman" w:hAnsi="Times New Roman" w:cs="Times New Roman"/>
          <w:sz w:val="22"/>
          <w:szCs w:val="20"/>
        </w:rPr>
        <w:t>单位：</w:t>
      </w:r>
      <w:r>
        <w:rPr>
          <w:rFonts w:ascii="Times New Roman" w:hAnsi="Times New Roman" w:cs="Times New Roman"/>
          <w:szCs w:val="21"/>
        </w:rPr>
        <w:t>mg/Nm</w:t>
      </w:r>
      <w:r>
        <w:rPr>
          <w:rFonts w:ascii="Times New Roman" w:hAnsi="Times New Roman" w:cs="Times New Roman"/>
          <w:szCs w:val="21"/>
          <w:vertAlign w:val="superscript"/>
        </w:rPr>
        <w:t>3</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868"/>
        <w:gridCol w:w="1019"/>
        <w:gridCol w:w="1019"/>
        <w:gridCol w:w="1601"/>
        <w:gridCol w:w="1538"/>
      </w:tblGrid>
      <w:tr w14:paraId="67DC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tcBorders>
              <w:tl2br w:val="single" w:color="auto" w:sz="4" w:space="0"/>
            </w:tcBorders>
            <w:vAlign w:val="center"/>
          </w:tcPr>
          <w:p w14:paraId="543655E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 xml:space="preserve">        污染因子</w:t>
            </w:r>
          </w:p>
          <w:p w14:paraId="6D9A7D38">
            <w:pPr>
              <w:keepNext w:val="0"/>
              <w:keepLines w:val="0"/>
              <w:widowControl/>
              <w:suppressLineNumbers w:val="0"/>
              <w:spacing w:before="0" w:beforeAutospacing="0" w:after="0" w:afterAutospacing="0"/>
              <w:ind w:left="0" w:right="0"/>
              <w:jc w:val="both"/>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国家</w:t>
            </w:r>
          </w:p>
        </w:tc>
        <w:tc>
          <w:tcPr>
            <w:tcW w:w="845" w:type="dxa"/>
            <w:vAlign w:val="center"/>
          </w:tcPr>
          <w:p w14:paraId="12CE847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snapToGrid w:val="0"/>
                <w:color w:val="000000"/>
                <w:sz w:val="22"/>
                <w:szCs w:val="20"/>
              </w:rPr>
              <w:t>颗粒物</w:t>
            </w:r>
          </w:p>
        </w:tc>
        <w:tc>
          <w:tcPr>
            <w:tcW w:w="992" w:type="dxa"/>
            <w:vAlign w:val="center"/>
          </w:tcPr>
          <w:p w14:paraId="4FEECF6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二氧化硫</w:t>
            </w:r>
          </w:p>
        </w:tc>
        <w:tc>
          <w:tcPr>
            <w:tcW w:w="992" w:type="dxa"/>
            <w:vAlign w:val="center"/>
          </w:tcPr>
          <w:p w14:paraId="490254E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snapToGrid w:val="0"/>
                <w:color w:val="000000"/>
                <w:sz w:val="22"/>
                <w:szCs w:val="20"/>
              </w:rPr>
              <w:t>氮氧化物</w:t>
            </w:r>
          </w:p>
        </w:tc>
        <w:tc>
          <w:tcPr>
            <w:tcW w:w="1559" w:type="dxa"/>
            <w:vAlign w:val="center"/>
          </w:tcPr>
          <w:p w14:paraId="08A0C3F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napToGrid w:val="0"/>
                <w:color w:val="000000"/>
                <w:sz w:val="22"/>
                <w:szCs w:val="20"/>
              </w:rPr>
            </w:pPr>
            <w:r>
              <w:rPr>
                <w:rFonts w:hint="eastAsia" w:ascii="Times New Roman" w:hAnsi="Times New Roman" w:cs="Times New Roman"/>
                <w:snapToGrid w:val="0"/>
                <w:color w:val="000000"/>
                <w:sz w:val="22"/>
                <w:szCs w:val="20"/>
              </w:rPr>
              <w:t>二噁英类</w:t>
            </w:r>
          </w:p>
          <w:p w14:paraId="6DD13B2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snapToGrid w:val="0"/>
                <w:color w:val="000000"/>
                <w:sz w:val="22"/>
                <w:szCs w:val="20"/>
              </w:rPr>
              <w:t>（ng-TEQ/m</w:t>
            </w:r>
            <w:r>
              <w:rPr>
                <w:rFonts w:hint="eastAsia" w:ascii="Times New Roman" w:hAnsi="Times New Roman" w:cs="Times New Roman"/>
                <w:snapToGrid w:val="0"/>
                <w:color w:val="000000"/>
                <w:sz w:val="22"/>
                <w:szCs w:val="20"/>
                <w:vertAlign w:val="superscript"/>
              </w:rPr>
              <w:t>3</w:t>
            </w:r>
            <w:r>
              <w:rPr>
                <w:rFonts w:hint="eastAsia" w:ascii="Times New Roman" w:hAnsi="Times New Roman" w:cs="Times New Roman"/>
                <w:snapToGrid w:val="0"/>
                <w:color w:val="000000"/>
                <w:sz w:val="22"/>
                <w:szCs w:val="20"/>
              </w:rPr>
              <w:t>）</w:t>
            </w:r>
          </w:p>
        </w:tc>
        <w:tc>
          <w:tcPr>
            <w:tcW w:w="1497" w:type="dxa"/>
            <w:vAlign w:val="center"/>
          </w:tcPr>
          <w:p w14:paraId="681765F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氟化物</w:t>
            </w:r>
          </w:p>
        </w:tc>
      </w:tr>
      <w:tr w14:paraId="47EC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vAlign w:val="center"/>
          </w:tcPr>
          <w:p w14:paraId="566547C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德国</w:t>
            </w:r>
          </w:p>
        </w:tc>
        <w:tc>
          <w:tcPr>
            <w:tcW w:w="845" w:type="dxa"/>
            <w:vAlign w:val="center"/>
          </w:tcPr>
          <w:p w14:paraId="0415C6D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5D926DE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500</w:t>
            </w:r>
          </w:p>
        </w:tc>
        <w:tc>
          <w:tcPr>
            <w:tcW w:w="992" w:type="dxa"/>
            <w:vAlign w:val="center"/>
          </w:tcPr>
          <w:p w14:paraId="6F1638D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w:t>
            </w:r>
          </w:p>
        </w:tc>
        <w:tc>
          <w:tcPr>
            <w:tcW w:w="1559" w:type="dxa"/>
            <w:vAlign w:val="center"/>
          </w:tcPr>
          <w:p w14:paraId="6470D32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1497" w:type="dxa"/>
            <w:vAlign w:val="center"/>
          </w:tcPr>
          <w:p w14:paraId="62920FD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3（以HF计）</w:t>
            </w:r>
          </w:p>
        </w:tc>
      </w:tr>
      <w:tr w14:paraId="2F1A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vAlign w:val="center"/>
          </w:tcPr>
          <w:p w14:paraId="062A723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美国</w:t>
            </w:r>
          </w:p>
        </w:tc>
        <w:tc>
          <w:tcPr>
            <w:tcW w:w="845" w:type="dxa"/>
            <w:vAlign w:val="center"/>
          </w:tcPr>
          <w:p w14:paraId="5B2DC7A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60</w:t>
            </w:r>
          </w:p>
        </w:tc>
        <w:tc>
          <w:tcPr>
            <w:tcW w:w="992" w:type="dxa"/>
            <w:vAlign w:val="center"/>
          </w:tcPr>
          <w:p w14:paraId="60D34D8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90</w:t>
            </w:r>
          </w:p>
        </w:tc>
        <w:tc>
          <w:tcPr>
            <w:tcW w:w="992" w:type="dxa"/>
            <w:vAlign w:val="center"/>
          </w:tcPr>
          <w:p w14:paraId="17E2612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559" w:type="dxa"/>
            <w:vAlign w:val="center"/>
          </w:tcPr>
          <w:p w14:paraId="4154A7D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497" w:type="dxa"/>
            <w:vAlign w:val="center"/>
          </w:tcPr>
          <w:p w14:paraId="4C075FD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r w14:paraId="4A58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vAlign w:val="center"/>
          </w:tcPr>
          <w:p w14:paraId="183FA1A3">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法国</w:t>
            </w:r>
          </w:p>
        </w:tc>
        <w:tc>
          <w:tcPr>
            <w:tcW w:w="845" w:type="dxa"/>
            <w:vAlign w:val="center"/>
          </w:tcPr>
          <w:p w14:paraId="1FC1B22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w:t>
            </w:r>
          </w:p>
        </w:tc>
        <w:tc>
          <w:tcPr>
            <w:tcW w:w="992" w:type="dxa"/>
            <w:vAlign w:val="center"/>
          </w:tcPr>
          <w:p w14:paraId="1CD24EC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300</w:t>
            </w:r>
          </w:p>
        </w:tc>
        <w:tc>
          <w:tcPr>
            <w:tcW w:w="992" w:type="dxa"/>
            <w:vAlign w:val="center"/>
          </w:tcPr>
          <w:p w14:paraId="134FD86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500</w:t>
            </w:r>
          </w:p>
        </w:tc>
        <w:tc>
          <w:tcPr>
            <w:tcW w:w="1559" w:type="dxa"/>
            <w:vAlign w:val="center"/>
          </w:tcPr>
          <w:p w14:paraId="464B091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497" w:type="dxa"/>
            <w:vAlign w:val="center"/>
          </w:tcPr>
          <w:p w14:paraId="474F68D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r w14:paraId="69CD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vAlign w:val="center"/>
          </w:tcPr>
          <w:p w14:paraId="7A05140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奥地利</w:t>
            </w:r>
          </w:p>
        </w:tc>
        <w:tc>
          <w:tcPr>
            <w:tcW w:w="845" w:type="dxa"/>
            <w:vAlign w:val="center"/>
          </w:tcPr>
          <w:p w14:paraId="4A00EE2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18F3CA9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350</w:t>
            </w:r>
          </w:p>
        </w:tc>
        <w:tc>
          <w:tcPr>
            <w:tcW w:w="992" w:type="dxa"/>
            <w:vAlign w:val="center"/>
          </w:tcPr>
          <w:p w14:paraId="708E37F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350</w:t>
            </w:r>
          </w:p>
        </w:tc>
        <w:tc>
          <w:tcPr>
            <w:tcW w:w="1559" w:type="dxa"/>
            <w:vAlign w:val="center"/>
          </w:tcPr>
          <w:p w14:paraId="156F40D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1497" w:type="dxa"/>
            <w:vAlign w:val="center"/>
          </w:tcPr>
          <w:p w14:paraId="3749F47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r>
      <w:tr w14:paraId="2BFC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vAlign w:val="center"/>
          </w:tcPr>
          <w:p w14:paraId="6A05AD1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我国现行特别排放限值</w:t>
            </w:r>
          </w:p>
        </w:tc>
        <w:tc>
          <w:tcPr>
            <w:tcW w:w="845" w:type="dxa"/>
            <w:vAlign w:val="center"/>
          </w:tcPr>
          <w:p w14:paraId="0DA8583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992" w:type="dxa"/>
            <w:vAlign w:val="center"/>
          </w:tcPr>
          <w:p w14:paraId="046A9DA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180</w:t>
            </w:r>
          </w:p>
        </w:tc>
        <w:tc>
          <w:tcPr>
            <w:tcW w:w="992" w:type="dxa"/>
            <w:vAlign w:val="center"/>
          </w:tcPr>
          <w:p w14:paraId="5C0B63A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300</w:t>
            </w:r>
          </w:p>
        </w:tc>
        <w:tc>
          <w:tcPr>
            <w:tcW w:w="1559" w:type="dxa"/>
            <w:vAlign w:val="center"/>
          </w:tcPr>
          <w:p w14:paraId="19B49A7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497" w:type="dxa"/>
            <w:vAlign w:val="center"/>
          </w:tcPr>
          <w:p w14:paraId="4E3DD393">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r>
    </w:tbl>
    <w:p w14:paraId="78616056">
      <w:pPr>
        <w:pStyle w:val="13"/>
        <w:spacing w:line="360" w:lineRule="auto"/>
        <w:ind w:firstLine="480" w:firstLineChars="200"/>
        <w:rPr>
          <w:rFonts w:ascii="Times New Roman" w:hAnsi="Times New Roman"/>
        </w:rPr>
      </w:pPr>
      <w:r>
        <w:rPr>
          <w:rFonts w:ascii="Times New Roman" w:hAnsi="Times New Roman"/>
        </w:rPr>
        <w:t>（2）炼铁</w:t>
      </w:r>
    </w:p>
    <w:p w14:paraId="6C6A0865">
      <w:pPr>
        <w:pStyle w:val="13"/>
        <w:spacing w:line="360" w:lineRule="auto"/>
        <w:ind w:firstLine="480" w:firstLineChars="200"/>
        <w:jc w:val="both"/>
        <w:rPr>
          <w:rFonts w:ascii="Times New Roman" w:hAnsi="Times New Roman"/>
        </w:rPr>
      </w:pPr>
      <w:r>
        <w:rPr>
          <w:rFonts w:ascii="Times New Roman" w:hAnsi="Times New Roman"/>
        </w:rPr>
        <w:t>欧美、日本、奥地利等国家炼铁工序颗粒物排放标准限值情况见表4-2。我国现行标准中特别排放限值基本达到或优于欧美、日本等的标准限值。</w:t>
      </w:r>
    </w:p>
    <w:p w14:paraId="3DEC9A65">
      <w:pPr>
        <w:adjustRightInd w:val="0"/>
        <w:spacing w:line="360" w:lineRule="auto"/>
        <w:jc w:val="center"/>
        <w:textAlignment w:val="baseline"/>
        <w:rPr>
          <w:rFonts w:ascii="Times New Roman" w:hAnsi="Times New Roman" w:cs="Times New Roman"/>
          <w:b/>
          <w:bCs/>
          <w:color w:val="000000"/>
          <w:szCs w:val="32"/>
        </w:rPr>
      </w:pPr>
      <w:r>
        <w:rPr>
          <w:rFonts w:ascii="Times New Roman" w:hAnsi="Times New Roman" w:cs="Times New Roman"/>
          <w:b/>
          <w:bCs/>
          <w:color w:val="000000"/>
          <w:szCs w:val="32"/>
        </w:rPr>
        <w:t>表4-2  炼铁工序烟（粉）尘国外相关标准限值汇总表</w:t>
      </w:r>
    </w:p>
    <w:p w14:paraId="635536B9">
      <w:pPr>
        <w:adjustRightInd w:val="0"/>
        <w:ind w:firstLine="480"/>
        <w:jc w:val="right"/>
        <w:textAlignment w:val="baseline"/>
        <w:rPr>
          <w:rFonts w:ascii="Times New Roman" w:hAnsi="Times New Roman" w:cs="Times New Roman"/>
          <w:szCs w:val="21"/>
        </w:rPr>
      </w:pPr>
      <w:r>
        <w:rPr>
          <w:rFonts w:ascii="Times New Roman" w:hAnsi="Times New Roman" w:cs="Times New Roman"/>
          <w:sz w:val="22"/>
          <w:szCs w:val="20"/>
        </w:rPr>
        <w:t>单位：</w:t>
      </w:r>
      <w:r>
        <w:rPr>
          <w:rFonts w:ascii="Times New Roman" w:hAnsi="Times New Roman" w:cs="Times New Roman"/>
          <w:szCs w:val="21"/>
        </w:rPr>
        <w:t>mg/Nm</w:t>
      </w:r>
      <w:r>
        <w:rPr>
          <w:rFonts w:ascii="Times New Roman" w:hAnsi="Times New Roman" w:cs="Times New Roman"/>
          <w:szCs w:val="21"/>
          <w:vertAlign w:val="superscript"/>
        </w:rPr>
        <w:t>3</w:t>
      </w:r>
    </w:p>
    <w:tbl>
      <w:tblPr>
        <w:tblStyle w:val="27"/>
        <w:tblW w:w="5000" w:type="pct"/>
        <w:jc w:val="center"/>
        <w:tblLayout w:type="fixed"/>
        <w:tblCellMar>
          <w:top w:w="0" w:type="dxa"/>
          <w:left w:w="108" w:type="dxa"/>
          <w:bottom w:w="0" w:type="dxa"/>
          <w:right w:w="108" w:type="dxa"/>
        </w:tblCellMar>
      </w:tblPr>
      <w:tblGrid>
        <w:gridCol w:w="1158"/>
        <w:gridCol w:w="1166"/>
        <w:gridCol w:w="1166"/>
        <w:gridCol w:w="1021"/>
        <w:gridCol w:w="1020"/>
        <w:gridCol w:w="1020"/>
        <w:gridCol w:w="1973"/>
      </w:tblGrid>
      <w:tr w14:paraId="03CA14AB">
        <w:tblPrEx>
          <w:tblCellMar>
            <w:top w:w="0" w:type="dxa"/>
            <w:left w:w="108" w:type="dxa"/>
            <w:bottom w:w="0" w:type="dxa"/>
            <w:right w:w="108" w:type="dxa"/>
          </w:tblCellMar>
        </w:tblPrEx>
        <w:trPr>
          <w:trHeight w:val="397" w:hRule="atLeast"/>
          <w:jc w:val="center"/>
        </w:trPr>
        <w:tc>
          <w:tcPr>
            <w:tcW w:w="226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2D34982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生产设施及污染源</w:t>
            </w:r>
          </w:p>
        </w:tc>
        <w:tc>
          <w:tcPr>
            <w:tcW w:w="1134" w:type="dxa"/>
            <w:tcBorders>
              <w:top w:val="single" w:color="auto" w:sz="6" w:space="0"/>
              <w:left w:val="single" w:color="auto" w:sz="6" w:space="0"/>
              <w:bottom w:val="single" w:color="auto" w:sz="6" w:space="0"/>
              <w:right w:val="single" w:color="auto" w:sz="6" w:space="0"/>
            </w:tcBorders>
            <w:shd w:val="clear" w:color="auto" w:fill="FFFFFF"/>
            <w:vAlign w:val="center"/>
          </w:tcPr>
          <w:p w14:paraId="669BE16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我国现行特别排放限值</w:t>
            </w:r>
          </w:p>
        </w:tc>
        <w:tc>
          <w:tcPr>
            <w:tcW w:w="993" w:type="dxa"/>
            <w:tcBorders>
              <w:top w:val="single" w:color="auto" w:sz="6" w:space="0"/>
              <w:left w:val="single" w:color="auto" w:sz="6" w:space="0"/>
              <w:bottom w:val="single" w:color="auto" w:sz="6" w:space="0"/>
              <w:right w:val="single" w:color="auto" w:sz="6" w:space="0"/>
            </w:tcBorders>
            <w:shd w:val="clear" w:color="auto" w:fill="FFFFFF"/>
            <w:vAlign w:val="center"/>
          </w:tcPr>
          <w:p w14:paraId="0E35065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美国</w:t>
            </w:r>
          </w:p>
        </w:tc>
        <w:tc>
          <w:tcPr>
            <w:tcW w:w="992" w:type="dxa"/>
            <w:tcBorders>
              <w:top w:val="single" w:color="auto" w:sz="6" w:space="0"/>
              <w:left w:val="single" w:color="auto" w:sz="6" w:space="0"/>
              <w:bottom w:val="single" w:color="auto" w:sz="6" w:space="0"/>
              <w:right w:val="single" w:color="auto" w:sz="6" w:space="0"/>
            </w:tcBorders>
            <w:shd w:val="clear" w:color="auto" w:fill="FFFFFF"/>
            <w:vAlign w:val="center"/>
          </w:tcPr>
          <w:p w14:paraId="61CE1A23">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德国</w:t>
            </w:r>
          </w:p>
        </w:tc>
        <w:tc>
          <w:tcPr>
            <w:tcW w:w="992" w:type="dxa"/>
            <w:tcBorders>
              <w:top w:val="single" w:color="auto" w:sz="6" w:space="0"/>
              <w:left w:val="single" w:color="auto" w:sz="6" w:space="0"/>
              <w:bottom w:val="single" w:color="auto" w:sz="6" w:space="0"/>
              <w:right w:val="single" w:color="auto" w:sz="6" w:space="0"/>
            </w:tcBorders>
            <w:shd w:val="clear" w:color="auto" w:fill="FFFFFF"/>
            <w:vAlign w:val="center"/>
          </w:tcPr>
          <w:p w14:paraId="76E979A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英国</w:t>
            </w:r>
          </w:p>
        </w:tc>
        <w:tc>
          <w:tcPr>
            <w:tcW w:w="1919" w:type="dxa"/>
            <w:tcBorders>
              <w:top w:val="single" w:color="auto" w:sz="6" w:space="0"/>
              <w:left w:val="single" w:color="auto" w:sz="6" w:space="0"/>
              <w:bottom w:val="single" w:color="auto" w:sz="6" w:space="0"/>
              <w:right w:val="single" w:color="auto" w:sz="6" w:space="0"/>
            </w:tcBorders>
            <w:shd w:val="clear" w:color="auto" w:fill="FFFFFF"/>
            <w:vAlign w:val="center"/>
          </w:tcPr>
          <w:p w14:paraId="0C2EECD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日本</w:t>
            </w:r>
          </w:p>
        </w:tc>
      </w:tr>
      <w:tr w14:paraId="1A4C8E73">
        <w:tblPrEx>
          <w:tblCellMar>
            <w:top w:w="0" w:type="dxa"/>
            <w:left w:w="108" w:type="dxa"/>
            <w:bottom w:w="0" w:type="dxa"/>
            <w:right w:w="108" w:type="dxa"/>
          </w:tblCellMar>
        </w:tblPrEx>
        <w:trPr>
          <w:trHeight w:val="397" w:hRule="atLeast"/>
          <w:jc w:val="center"/>
        </w:trPr>
        <w:tc>
          <w:tcPr>
            <w:tcW w:w="1126" w:type="dxa"/>
            <w:vMerge w:val="restart"/>
            <w:tcBorders>
              <w:top w:val="single" w:color="auto" w:sz="6" w:space="0"/>
              <w:left w:val="single" w:color="auto" w:sz="6" w:space="0"/>
              <w:bottom w:val="single" w:color="auto" w:sz="6" w:space="0"/>
              <w:right w:val="single" w:color="auto" w:sz="6" w:space="0"/>
            </w:tcBorders>
            <w:vAlign w:val="center"/>
          </w:tcPr>
          <w:p w14:paraId="42FF22C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高炉出铁场</w:t>
            </w:r>
          </w:p>
        </w:tc>
        <w:tc>
          <w:tcPr>
            <w:tcW w:w="1134" w:type="dxa"/>
            <w:tcBorders>
              <w:top w:val="single" w:color="auto" w:sz="6" w:space="0"/>
              <w:left w:val="single" w:color="auto" w:sz="6" w:space="0"/>
              <w:bottom w:val="single" w:color="auto" w:sz="6" w:space="0"/>
              <w:right w:val="single" w:color="auto" w:sz="6" w:space="0"/>
            </w:tcBorders>
            <w:vAlign w:val="center"/>
          </w:tcPr>
          <w:p w14:paraId="618AD39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现有企业</w:t>
            </w:r>
          </w:p>
        </w:tc>
        <w:tc>
          <w:tcPr>
            <w:tcW w:w="1134" w:type="dxa"/>
            <w:tcBorders>
              <w:top w:val="single" w:color="auto" w:sz="6" w:space="0"/>
              <w:left w:val="single" w:color="auto" w:sz="6" w:space="0"/>
              <w:bottom w:val="single" w:color="auto" w:sz="6" w:space="0"/>
              <w:right w:val="single" w:color="auto" w:sz="6" w:space="0"/>
            </w:tcBorders>
            <w:vAlign w:val="center"/>
          </w:tcPr>
          <w:p w14:paraId="001C1D0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993" w:type="dxa"/>
            <w:tcBorders>
              <w:top w:val="single" w:color="auto" w:sz="6" w:space="0"/>
              <w:left w:val="single" w:color="auto" w:sz="6" w:space="0"/>
              <w:bottom w:val="single" w:color="auto" w:sz="6" w:space="0"/>
              <w:right w:val="single" w:color="auto" w:sz="6" w:space="0"/>
            </w:tcBorders>
            <w:vAlign w:val="center"/>
          </w:tcPr>
          <w:p w14:paraId="31E2745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22.9</w:t>
            </w:r>
          </w:p>
        </w:tc>
        <w:tc>
          <w:tcPr>
            <w:tcW w:w="992" w:type="dxa"/>
            <w:tcBorders>
              <w:top w:val="single" w:color="auto" w:sz="6" w:space="0"/>
              <w:left w:val="single" w:color="auto" w:sz="6" w:space="0"/>
              <w:bottom w:val="single" w:color="auto" w:sz="6" w:space="0"/>
              <w:right w:val="single" w:color="auto" w:sz="6" w:space="0"/>
            </w:tcBorders>
            <w:vAlign w:val="center"/>
          </w:tcPr>
          <w:p w14:paraId="26CF976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992" w:type="dxa"/>
            <w:tcBorders>
              <w:top w:val="single" w:color="auto" w:sz="6" w:space="0"/>
              <w:left w:val="single" w:color="auto" w:sz="6" w:space="0"/>
              <w:bottom w:val="single" w:color="auto" w:sz="6" w:space="0"/>
              <w:right w:val="single" w:color="auto" w:sz="6" w:space="0"/>
            </w:tcBorders>
            <w:vAlign w:val="center"/>
          </w:tcPr>
          <w:p w14:paraId="14FD4DE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1919" w:type="dxa"/>
            <w:tcBorders>
              <w:top w:val="single" w:color="auto" w:sz="6" w:space="0"/>
              <w:left w:val="single" w:color="auto" w:sz="6" w:space="0"/>
              <w:bottom w:val="single" w:color="auto" w:sz="6" w:space="0"/>
              <w:right w:val="single" w:color="auto" w:sz="6" w:space="0"/>
            </w:tcBorders>
            <w:vAlign w:val="center"/>
          </w:tcPr>
          <w:p w14:paraId="0CD12A7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30（参照锅炉）</w:t>
            </w:r>
          </w:p>
        </w:tc>
      </w:tr>
      <w:tr w14:paraId="5FBD18E6">
        <w:tblPrEx>
          <w:tblCellMar>
            <w:top w:w="0" w:type="dxa"/>
            <w:left w:w="108" w:type="dxa"/>
            <w:bottom w:w="0" w:type="dxa"/>
            <w:right w:w="108" w:type="dxa"/>
          </w:tblCellMar>
        </w:tblPrEx>
        <w:trPr>
          <w:trHeight w:val="397" w:hRule="atLeast"/>
          <w:jc w:val="center"/>
        </w:trPr>
        <w:tc>
          <w:tcPr>
            <w:tcW w:w="1126" w:type="dxa"/>
            <w:vMerge w:val="continue"/>
            <w:tcBorders>
              <w:top w:val="single" w:color="auto" w:sz="6" w:space="0"/>
              <w:left w:val="single" w:color="auto" w:sz="6" w:space="0"/>
              <w:bottom w:val="single" w:color="auto" w:sz="6" w:space="0"/>
              <w:right w:val="single" w:color="auto" w:sz="6" w:space="0"/>
            </w:tcBorders>
            <w:vAlign w:val="center"/>
          </w:tcPr>
          <w:p w14:paraId="5EBE459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p>
        </w:tc>
        <w:tc>
          <w:tcPr>
            <w:tcW w:w="1134" w:type="dxa"/>
            <w:tcBorders>
              <w:top w:val="single" w:color="auto" w:sz="6" w:space="0"/>
              <w:left w:val="single" w:color="auto" w:sz="6" w:space="0"/>
              <w:bottom w:val="single" w:color="auto" w:sz="6" w:space="0"/>
              <w:right w:val="single" w:color="auto" w:sz="6" w:space="0"/>
            </w:tcBorders>
            <w:vAlign w:val="center"/>
          </w:tcPr>
          <w:p w14:paraId="35DE8BC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新建企业</w:t>
            </w:r>
          </w:p>
        </w:tc>
        <w:tc>
          <w:tcPr>
            <w:tcW w:w="1134" w:type="dxa"/>
            <w:tcBorders>
              <w:top w:val="single" w:color="auto" w:sz="6" w:space="0"/>
              <w:left w:val="single" w:color="auto" w:sz="6" w:space="0"/>
              <w:bottom w:val="single" w:color="auto" w:sz="6" w:space="0"/>
              <w:right w:val="single" w:color="auto" w:sz="6" w:space="0"/>
            </w:tcBorders>
            <w:vAlign w:val="center"/>
          </w:tcPr>
          <w:p w14:paraId="0293568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993" w:type="dxa"/>
            <w:tcBorders>
              <w:top w:val="single" w:color="auto" w:sz="6" w:space="0"/>
              <w:left w:val="single" w:color="auto" w:sz="6" w:space="0"/>
              <w:bottom w:val="single" w:color="auto" w:sz="6" w:space="0"/>
              <w:right w:val="single" w:color="auto" w:sz="6" w:space="0"/>
            </w:tcBorders>
            <w:vAlign w:val="center"/>
          </w:tcPr>
          <w:p w14:paraId="44A0267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6.9</w:t>
            </w:r>
          </w:p>
        </w:tc>
        <w:tc>
          <w:tcPr>
            <w:tcW w:w="992" w:type="dxa"/>
            <w:tcBorders>
              <w:top w:val="single" w:color="auto" w:sz="6" w:space="0"/>
              <w:left w:val="single" w:color="auto" w:sz="6" w:space="0"/>
              <w:bottom w:val="single" w:color="auto" w:sz="6" w:space="0"/>
              <w:right w:val="single" w:color="auto" w:sz="6" w:space="0"/>
            </w:tcBorders>
            <w:vAlign w:val="center"/>
          </w:tcPr>
          <w:p w14:paraId="317E8DD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992" w:type="dxa"/>
            <w:tcBorders>
              <w:top w:val="single" w:color="auto" w:sz="6" w:space="0"/>
              <w:left w:val="single" w:color="auto" w:sz="6" w:space="0"/>
              <w:bottom w:val="single" w:color="auto" w:sz="6" w:space="0"/>
              <w:right w:val="single" w:color="auto" w:sz="6" w:space="0"/>
            </w:tcBorders>
            <w:vAlign w:val="center"/>
          </w:tcPr>
          <w:p w14:paraId="3131642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1919" w:type="dxa"/>
            <w:tcBorders>
              <w:top w:val="single" w:color="auto" w:sz="6" w:space="0"/>
              <w:left w:val="single" w:color="auto" w:sz="6" w:space="0"/>
              <w:bottom w:val="single" w:color="auto" w:sz="6" w:space="0"/>
              <w:right w:val="single" w:color="auto" w:sz="6" w:space="0"/>
            </w:tcBorders>
            <w:vAlign w:val="center"/>
          </w:tcPr>
          <w:p w14:paraId="79FFDFF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30（参照锅炉）</w:t>
            </w:r>
          </w:p>
        </w:tc>
      </w:tr>
      <w:tr w14:paraId="0A49790D">
        <w:tblPrEx>
          <w:tblCellMar>
            <w:top w:w="0" w:type="dxa"/>
            <w:left w:w="108" w:type="dxa"/>
            <w:bottom w:w="0" w:type="dxa"/>
            <w:right w:w="108" w:type="dxa"/>
          </w:tblCellMar>
        </w:tblPrEx>
        <w:trPr>
          <w:trHeight w:val="397" w:hRule="atLeast"/>
          <w:jc w:val="center"/>
        </w:trPr>
        <w:tc>
          <w:tcPr>
            <w:tcW w:w="1126" w:type="dxa"/>
            <w:vMerge w:val="restart"/>
            <w:tcBorders>
              <w:top w:val="single" w:color="auto" w:sz="6" w:space="0"/>
              <w:left w:val="single" w:color="auto" w:sz="6" w:space="0"/>
              <w:bottom w:val="single" w:color="auto" w:sz="6" w:space="0"/>
              <w:right w:val="single" w:color="auto" w:sz="6" w:space="0"/>
            </w:tcBorders>
            <w:vAlign w:val="center"/>
          </w:tcPr>
          <w:p w14:paraId="464B32F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热风炉</w:t>
            </w:r>
          </w:p>
        </w:tc>
        <w:tc>
          <w:tcPr>
            <w:tcW w:w="1134" w:type="dxa"/>
            <w:tcBorders>
              <w:top w:val="single" w:color="auto" w:sz="6" w:space="0"/>
              <w:left w:val="single" w:color="auto" w:sz="6" w:space="0"/>
              <w:bottom w:val="single" w:color="auto" w:sz="6" w:space="0"/>
              <w:right w:val="single" w:color="auto" w:sz="6" w:space="0"/>
            </w:tcBorders>
            <w:vAlign w:val="center"/>
          </w:tcPr>
          <w:p w14:paraId="0C1ACD3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现有企业</w:t>
            </w:r>
          </w:p>
        </w:tc>
        <w:tc>
          <w:tcPr>
            <w:tcW w:w="1134" w:type="dxa"/>
            <w:tcBorders>
              <w:top w:val="single" w:color="auto" w:sz="6" w:space="0"/>
              <w:left w:val="single" w:color="auto" w:sz="6" w:space="0"/>
              <w:bottom w:val="single" w:color="auto" w:sz="6" w:space="0"/>
              <w:right w:val="single" w:color="auto" w:sz="6" w:space="0"/>
            </w:tcBorders>
            <w:vAlign w:val="center"/>
          </w:tcPr>
          <w:p w14:paraId="2F31222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993" w:type="dxa"/>
            <w:tcBorders>
              <w:top w:val="single" w:color="auto" w:sz="6" w:space="0"/>
              <w:left w:val="single" w:color="auto" w:sz="6" w:space="0"/>
              <w:bottom w:val="single" w:color="auto" w:sz="6" w:space="0"/>
              <w:right w:val="single" w:color="auto" w:sz="6" w:space="0"/>
            </w:tcBorders>
            <w:vAlign w:val="center"/>
          </w:tcPr>
          <w:p w14:paraId="60F39A5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992" w:type="dxa"/>
            <w:tcBorders>
              <w:top w:val="single" w:color="auto" w:sz="6" w:space="0"/>
              <w:left w:val="single" w:color="auto" w:sz="6" w:space="0"/>
              <w:bottom w:val="single" w:color="auto" w:sz="6" w:space="0"/>
              <w:right w:val="single" w:color="auto" w:sz="6" w:space="0"/>
            </w:tcBorders>
            <w:vAlign w:val="center"/>
          </w:tcPr>
          <w:p w14:paraId="7D900C2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tcBorders>
              <w:top w:val="single" w:color="auto" w:sz="6" w:space="0"/>
              <w:left w:val="single" w:color="auto" w:sz="6" w:space="0"/>
              <w:bottom w:val="single" w:color="auto" w:sz="6" w:space="0"/>
              <w:right w:val="single" w:color="auto" w:sz="6" w:space="0"/>
            </w:tcBorders>
            <w:vAlign w:val="center"/>
          </w:tcPr>
          <w:p w14:paraId="24E8321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919" w:type="dxa"/>
            <w:tcBorders>
              <w:top w:val="single" w:color="auto" w:sz="6" w:space="0"/>
              <w:left w:val="single" w:color="auto" w:sz="6" w:space="0"/>
              <w:bottom w:val="single" w:color="auto" w:sz="6" w:space="0"/>
              <w:right w:val="single" w:color="auto" w:sz="6" w:space="0"/>
            </w:tcBorders>
            <w:vAlign w:val="center"/>
          </w:tcPr>
          <w:p w14:paraId="4D393DA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100（参照加热炉）</w:t>
            </w:r>
          </w:p>
        </w:tc>
      </w:tr>
      <w:tr w14:paraId="299FD45E">
        <w:tblPrEx>
          <w:tblCellMar>
            <w:top w:w="0" w:type="dxa"/>
            <w:left w:w="108" w:type="dxa"/>
            <w:bottom w:w="0" w:type="dxa"/>
            <w:right w:w="108" w:type="dxa"/>
          </w:tblCellMar>
        </w:tblPrEx>
        <w:trPr>
          <w:trHeight w:val="397" w:hRule="atLeast"/>
          <w:jc w:val="center"/>
        </w:trPr>
        <w:tc>
          <w:tcPr>
            <w:tcW w:w="1126" w:type="dxa"/>
            <w:vMerge w:val="continue"/>
            <w:tcBorders>
              <w:top w:val="single" w:color="auto" w:sz="6" w:space="0"/>
              <w:left w:val="single" w:color="auto" w:sz="6" w:space="0"/>
              <w:bottom w:val="single" w:color="auto" w:sz="6" w:space="0"/>
              <w:right w:val="single" w:color="auto" w:sz="6" w:space="0"/>
            </w:tcBorders>
            <w:vAlign w:val="center"/>
          </w:tcPr>
          <w:p w14:paraId="1CE485B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p>
        </w:tc>
        <w:tc>
          <w:tcPr>
            <w:tcW w:w="1134" w:type="dxa"/>
            <w:tcBorders>
              <w:top w:val="single" w:color="auto" w:sz="6" w:space="0"/>
              <w:left w:val="single" w:color="auto" w:sz="6" w:space="0"/>
              <w:bottom w:val="single" w:color="auto" w:sz="6" w:space="0"/>
              <w:right w:val="single" w:color="auto" w:sz="6" w:space="0"/>
            </w:tcBorders>
            <w:vAlign w:val="center"/>
          </w:tcPr>
          <w:p w14:paraId="4D1913B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新建企业</w:t>
            </w:r>
          </w:p>
        </w:tc>
        <w:tc>
          <w:tcPr>
            <w:tcW w:w="1134" w:type="dxa"/>
            <w:tcBorders>
              <w:top w:val="single" w:color="auto" w:sz="6" w:space="0"/>
              <w:left w:val="single" w:color="auto" w:sz="6" w:space="0"/>
              <w:bottom w:val="single" w:color="auto" w:sz="6" w:space="0"/>
              <w:right w:val="single" w:color="auto" w:sz="6" w:space="0"/>
            </w:tcBorders>
            <w:vAlign w:val="center"/>
          </w:tcPr>
          <w:p w14:paraId="6A916C6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993" w:type="dxa"/>
            <w:tcBorders>
              <w:top w:val="single" w:color="auto" w:sz="6" w:space="0"/>
              <w:left w:val="single" w:color="auto" w:sz="6" w:space="0"/>
              <w:bottom w:val="single" w:color="auto" w:sz="6" w:space="0"/>
              <w:right w:val="single" w:color="auto" w:sz="6" w:space="0"/>
            </w:tcBorders>
            <w:vAlign w:val="center"/>
          </w:tcPr>
          <w:p w14:paraId="0FC325F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992" w:type="dxa"/>
            <w:tcBorders>
              <w:top w:val="single" w:color="auto" w:sz="6" w:space="0"/>
              <w:left w:val="single" w:color="auto" w:sz="6" w:space="0"/>
              <w:bottom w:val="single" w:color="auto" w:sz="6" w:space="0"/>
              <w:right w:val="single" w:color="auto" w:sz="6" w:space="0"/>
            </w:tcBorders>
            <w:vAlign w:val="center"/>
          </w:tcPr>
          <w:p w14:paraId="0130BA8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tcBorders>
              <w:top w:val="single" w:color="auto" w:sz="6" w:space="0"/>
              <w:left w:val="single" w:color="auto" w:sz="6" w:space="0"/>
              <w:bottom w:val="single" w:color="auto" w:sz="6" w:space="0"/>
              <w:right w:val="single" w:color="auto" w:sz="6" w:space="0"/>
            </w:tcBorders>
            <w:vAlign w:val="center"/>
          </w:tcPr>
          <w:p w14:paraId="4DA317F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919" w:type="dxa"/>
            <w:tcBorders>
              <w:top w:val="single" w:color="auto" w:sz="6" w:space="0"/>
              <w:left w:val="single" w:color="auto" w:sz="6" w:space="0"/>
              <w:bottom w:val="single" w:color="auto" w:sz="6" w:space="0"/>
              <w:right w:val="single" w:color="auto" w:sz="6" w:space="0"/>
            </w:tcBorders>
            <w:vAlign w:val="center"/>
          </w:tcPr>
          <w:p w14:paraId="28CB030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100（参照加热炉）</w:t>
            </w:r>
          </w:p>
        </w:tc>
      </w:tr>
      <w:tr w14:paraId="488B189B">
        <w:tblPrEx>
          <w:tblCellMar>
            <w:top w:w="0" w:type="dxa"/>
            <w:left w:w="108" w:type="dxa"/>
            <w:bottom w:w="0" w:type="dxa"/>
            <w:right w:w="108" w:type="dxa"/>
          </w:tblCellMar>
        </w:tblPrEx>
        <w:trPr>
          <w:trHeight w:val="397" w:hRule="atLeast"/>
          <w:jc w:val="center"/>
        </w:trPr>
        <w:tc>
          <w:tcPr>
            <w:tcW w:w="1126" w:type="dxa"/>
            <w:vMerge w:val="restart"/>
            <w:tcBorders>
              <w:top w:val="single" w:color="auto" w:sz="6" w:space="0"/>
              <w:left w:val="single" w:color="auto" w:sz="6" w:space="0"/>
              <w:bottom w:val="single" w:color="auto" w:sz="6" w:space="0"/>
              <w:right w:val="single" w:color="auto" w:sz="6" w:space="0"/>
            </w:tcBorders>
            <w:vAlign w:val="center"/>
          </w:tcPr>
          <w:p w14:paraId="21CA9A1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原料、煤粉系统</w:t>
            </w:r>
          </w:p>
        </w:tc>
        <w:tc>
          <w:tcPr>
            <w:tcW w:w="1134" w:type="dxa"/>
            <w:tcBorders>
              <w:top w:val="single" w:color="auto" w:sz="6" w:space="0"/>
              <w:left w:val="single" w:color="auto" w:sz="6" w:space="0"/>
              <w:bottom w:val="single" w:color="auto" w:sz="6" w:space="0"/>
              <w:right w:val="single" w:color="auto" w:sz="6" w:space="0"/>
            </w:tcBorders>
            <w:vAlign w:val="center"/>
          </w:tcPr>
          <w:p w14:paraId="7D28E06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现有企业</w:t>
            </w:r>
          </w:p>
        </w:tc>
        <w:tc>
          <w:tcPr>
            <w:tcW w:w="1134" w:type="dxa"/>
            <w:tcBorders>
              <w:top w:val="single" w:color="auto" w:sz="6" w:space="0"/>
              <w:left w:val="single" w:color="auto" w:sz="6" w:space="0"/>
              <w:bottom w:val="single" w:color="auto" w:sz="6" w:space="0"/>
              <w:right w:val="single" w:color="auto" w:sz="6" w:space="0"/>
            </w:tcBorders>
            <w:vAlign w:val="center"/>
          </w:tcPr>
          <w:p w14:paraId="6BDE915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3" w:type="dxa"/>
            <w:tcBorders>
              <w:top w:val="single" w:color="auto" w:sz="6" w:space="0"/>
              <w:left w:val="single" w:color="auto" w:sz="6" w:space="0"/>
              <w:bottom w:val="single" w:color="auto" w:sz="6" w:space="0"/>
              <w:right w:val="single" w:color="auto" w:sz="6" w:space="0"/>
            </w:tcBorders>
            <w:vAlign w:val="center"/>
          </w:tcPr>
          <w:p w14:paraId="5F32232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18.32</w:t>
            </w:r>
          </w:p>
        </w:tc>
        <w:tc>
          <w:tcPr>
            <w:tcW w:w="992" w:type="dxa"/>
            <w:tcBorders>
              <w:top w:val="single" w:color="auto" w:sz="6" w:space="0"/>
              <w:left w:val="single" w:color="auto" w:sz="6" w:space="0"/>
              <w:bottom w:val="single" w:color="auto" w:sz="6" w:space="0"/>
              <w:right w:val="single" w:color="auto" w:sz="6" w:space="0"/>
            </w:tcBorders>
            <w:vAlign w:val="center"/>
          </w:tcPr>
          <w:p w14:paraId="393C12D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992" w:type="dxa"/>
            <w:tcBorders>
              <w:top w:val="single" w:color="auto" w:sz="6" w:space="0"/>
              <w:left w:val="single" w:color="auto" w:sz="6" w:space="0"/>
              <w:bottom w:val="single" w:color="auto" w:sz="6" w:space="0"/>
              <w:right w:val="single" w:color="auto" w:sz="6" w:space="0"/>
            </w:tcBorders>
            <w:vAlign w:val="center"/>
          </w:tcPr>
          <w:p w14:paraId="5357CBB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1919" w:type="dxa"/>
            <w:tcBorders>
              <w:top w:val="single" w:color="auto" w:sz="6" w:space="0"/>
              <w:left w:val="single" w:color="auto" w:sz="6" w:space="0"/>
              <w:bottom w:val="single" w:color="auto" w:sz="6" w:space="0"/>
              <w:right w:val="single" w:color="auto" w:sz="6" w:space="0"/>
            </w:tcBorders>
            <w:vAlign w:val="center"/>
          </w:tcPr>
          <w:p w14:paraId="0BABD2C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30（参照锅炉）</w:t>
            </w:r>
          </w:p>
        </w:tc>
      </w:tr>
      <w:tr w14:paraId="208C4E1B">
        <w:tblPrEx>
          <w:tblCellMar>
            <w:top w:w="0" w:type="dxa"/>
            <w:left w:w="108" w:type="dxa"/>
            <w:bottom w:w="0" w:type="dxa"/>
            <w:right w:w="108" w:type="dxa"/>
          </w:tblCellMar>
        </w:tblPrEx>
        <w:trPr>
          <w:trHeight w:val="397" w:hRule="atLeast"/>
          <w:jc w:val="center"/>
        </w:trPr>
        <w:tc>
          <w:tcPr>
            <w:tcW w:w="1126" w:type="dxa"/>
            <w:vMerge w:val="continue"/>
            <w:tcBorders>
              <w:top w:val="single" w:color="auto" w:sz="6" w:space="0"/>
              <w:left w:val="single" w:color="auto" w:sz="6" w:space="0"/>
              <w:bottom w:val="single" w:color="auto" w:sz="6" w:space="0"/>
              <w:right w:val="single" w:color="auto" w:sz="6" w:space="0"/>
            </w:tcBorders>
            <w:vAlign w:val="center"/>
          </w:tcPr>
          <w:p w14:paraId="6ACBD34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p>
        </w:tc>
        <w:tc>
          <w:tcPr>
            <w:tcW w:w="1134" w:type="dxa"/>
            <w:tcBorders>
              <w:top w:val="single" w:color="auto" w:sz="6" w:space="0"/>
              <w:left w:val="single" w:color="auto" w:sz="6" w:space="0"/>
              <w:bottom w:val="single" w:color="auto" w:sz="6" w:space="0"/>
              <w:right w:val="single" w:color="auto" w:sz="6" w:space="0"/>
            </w:tcBorders>
            <w:vAlign w:val="center"/>
          </w:tcPr>
          <w:p w14:paraId="179647B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新建企业</w:t>
            </w:r>
          </w:p>
        </w:tc>
        <w:tc>
          <w:tcPr>
            <w:tcW w:w="1134" w:type="dxa"/>
            <w:tcBorders>
              <w:top w:val="single" w:color="auto" w:sz="6" w:space="0"/>
              <w:left w:val="single" w:color="auto" w:sz="6" w:space="0"/>
              <w:bottom w:val="single" w:color="auto" w:sz="6" w:space="0"/>
              <w:right w:val="single" w:color="auto" w:sz="6" w:space="0"/>
            </w:tcBorders>
            <w:vAlign w:val="center"/>
          </w:tcPr>
          <w:p w14:paraId="40A8DBF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3" w:type="dxa"/>
            <w:tcBorders>
              <w:top w:val="single" w:color="auto" w:sz="6" w:space="0"/>
              <w:left w:val="single" w:color="auto" w:sz="6" w:space="0"/>
              <w:bottom w:val="single" w:color="auto" w:sz="6" w:space="0"/>
              <w:right w:val="single" w:color="auto" w:sz="6" w:space="0"/>
            </w:tcBorders>
            <w:vAlign w:val="center"/>
          </w:tcPr>
          <w:p w14:paraId="6CA2343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11.45</w:t>
            </w:r>
          </w:p>
        </w:tc>
        <w:tc>
          <w:tcPr>
            <w:tcW w:w="992" w:type="dxa"/>
            <w:tcBorders>
              <w:top w:val="single" w:color="auto" w:sz="6" w:space="0"/>
              <w:left w:val="single" w:color="auto" w:sz="6" w:space="0"/>
              <w:bottom w:val="single" w:color="auto" w:sz="6" w:space="0"/>
              <w:right w:val="single" w:color="auto" w:sz="6" w:space="0"/>
            </w:tcBorders>
            <w:vAlign w:val="center"/>
          </w:tcPr>
          <w:p w14:paraId="25B841C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992" w:type="dxa"/>
            <w:tcBorders>
              <w:top w:val="single" w:color="auto" w:sz="6" w:space="0"/>
              <w:left w:val="single" w:color="auto" w:sz="6" w:space="0"/>
              <w:bottom w:val="single" w:color="auto" w:sz="6" w:space="0"/>
              <w:right w:val="single" w:color="auto" w:sz="6" w:space="0"/>
            </w:tcBorders>
            <w:vAlign w:val="center"/>
          </w:tcPr>
          <w:p w14:paraId="4121C34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1919" w:type="dxa"/>
            <w:tcBorders>
              <w:top w:val="single" w:color="auto" w:sz="6" w:space="0"/>
              <w:left w:val="single" w:color="auto" w:sz="6" w:space="0"/>
              <w:bottom w:val="single" w:color="auto" w:sz="6" w:space="0"/>
              <w:right w:val="single" w:color="auto" w:sz="6" w:space="0"/>
            </w:tcBorders>
            <w:vAlign w:val="center"/>
          </w:tcPr>
          <w:p w14:paraId="315FB77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30（参照锅炉）</w:t>
            </w:r>
          </w:p>
        </w:tc>
      </w:tr>
      <w:tr w14:paraId="59CFD76D">
        <w:tblPrEx>
          <w:tblCellMar>
            <w:top w:w="0" w:type="dxa"/>
            <w:left w:w="108" w:type="dxa"/>
            <w:bottom w:w="0" w:type="dxa"/>
            <w:right w:w="108" w:type="dxa"/>
          </w:tblCellMar>
        </w:tblPrEx>
        <w:trPr>
          <w:trHeight w:val="397" w:hRule="atLeast"/>
          <w:jc w:val="center"/>
        </w:trPr>
        <w:tc>
          <w:tcPr>
            <w:tcW w:w="2260" w:type="dxa"/>
            <w:gridSpan w:val="2"/>
            <w:tcBorders>
              <w:top w:val="single" w:color="auto" w:sz="6" w:space="0"/>
              <w:left w:val="single" w:color="auto" w:sz="6" w:space="0"/>
              <w:bottom w:val="single" w:color="auto" w:sz="6" w:space="0"/>
              <w:right w:val="single" w:color="auto" w:sz="6" w:space="0"/>
            </w:tcBorders>
            <w:vAlign w:val="center"/>
          </w:tcPr>
          <w:p w14:paraId="0A8203D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标准制订年代</w:t>
            </w:r>
          </w:p>
        </w:tc>
        <w:tc>
          <w:tcPr>
            <w:tcW w:w="1134" w:type="dxa"/>
            <w:tcBorders>
              <w:top w:val="single" w:color="auto" w:sz="6" w:space="0"/>
              <w:left w:val="single" w:color="auto" w:sz="6" w:space="0"/>
              <w:bottom w:val="single" w:color="auto" w:sz="6" w:space="0"/>
              <w:right w:val="single" w:color="auto" w:sz="6" w:space="0"/>
            </w:tcBorders>
            <w:vAlign w:val="center"/>
          </w:tcPr>
          <w:p w14:paraId="6D57E63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2012年</w:t>
            </w:r>
          </w:p>
        </w:tc>
        <w:tc>
          <w:tcPr>
            <w:tcW w:w="993" w:type="dxa"/>
            <w:tcBorders>
              <w:top w:val="single" w:color="auto" w:sz="6" w:space="0"/>
              <w:left w:val="single" w:color="auto" w:sz="6" w:space="0"/>
              <w:bottom w:val="single" w:color="auto" w:sz="6" w:space="0"/>
              <w:right w:val="single" w:color="auto" w:sz="6" w:space="0"/>
            </w:tcBorders>
            <w:vAlign w:val="center"/>
          </w:tcPr>
          <w:p w14:paraId="401EAF3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1999年</w:t>
            </w:r>
          </w:p>
        </w:tc>
        <w:tc>
          <w:tcPr>
            <w:tcW w:w="992" w:type="dxa"/>
            <w:tcBorders>
              <w:top w:val="single" w:color="auto" w:sz="6" w:space="0"/>
              <w:left w:val="single" w:color="auto" w:sz="6" w:space="0"/>
              <w:bottom w:val="single" w:color="auto" w:sz="6" w:space="0"/>
              <w:right w:val="single" w:color="auto" w:sz="6" w:space="0"/>
            </w:tcBorders>
            <w:vAlign w:val="center"/>
          </w:tcPr>
          <w:p w14:paraId="2177032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2002年</w:t>
            </w:r>
          </w:p>
        </w:tc>
        <w:tc>
          <w:tcPr>
            <w:tcW w:w="992" w:type="dxa"/>
            <w:tcBorders>
              <w:top w:val="single" w:color="auto" w:sz="6" w:space="0"/>
              <w:left w:val="single" w:color="auto" w:sz="6" w:space="0"/>
              <w:bottom w:val="single" w:color="auto" w:sz="6" w:space="0"/>
              <w:right w:val="single" w:color="auto" w:sz="6" w:space="0"/>
            </w:tcBorders>
            <w:vAlign w:val="center"/>
          </w:tcPr>
          <w:p w14:paraId="13FB671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1999年</w:t>
            </w:r>
          </w:p>
        </w:tc>
        <w:tc>
          <w:tcPr>
            <w:tcW w:w="1919" w:type="dxa"/>
            <w:tcBorders>
              <w:top w:val="single" w:color="auto" w:sz="6" w:space="0"/>
              <w:left w:val="single" w:color="auto" w:sz="6" w:space="0"/>
              <w:bottom w:val="single" w:color="auto" w:sz="6" w:space="0"/>
              <w:right w:val="single" w:color="auto" w:sz="6" w:space="0"/>
            </w:tcBorders>
            <w:vAlign w:val="center"/>
          </w:tcPr>
          <w:p w14:paraId="7E6B82A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2005年</w:t>
            </w:r>
          </w:p>
        </w:tc>
      </w:tr>
    </w:tbl>
    <w:p w14:paraId="275C3549">
      <w:pPr>
        <w:pStyle w:val="13"/>
        <w:spacing w:line="360" w:lineRule="auto"/>
        <w:ind w:firstLine="480" w:firstLineChars="200"/>
        <w:jc w:val="both"/>
        <w:rPr>
          <w:rFonts w:ascii="Times New Roman" w:hAnsi="Times New Roman"/>
        </w:rPr>
      </w:pPr>
      <w:r>
        <w:rPr>
          <w:rFonts w:ascii="Times New Roman" w:hAnsi="Times New Roman"/>
        </w:rPr>
        <w:t>欧美、日本、奥地利等国家炼铁工序热风炉SO</w:t>
      </w:r>
      <w:r>
        <w:rPr>
          <w:rFonts w:ascii="Times New Roman" w:hAnsi="Times New Roman"/>
          <w:vertAlign w:val="subscript"/>
        </w:rPr>
        <w:t>2</w:t>
      </w:r>
      <w:r>
        <w:rPr>
          <w:rFonts w:ascii="Times New Roman" w:hAnsi="Times New Roman"/>
        </w:rPr>
        <w:t>、NOx排放标准限值见表4-3。目前我国大多数钢铁企业采取燃用洁净煤气，SO</w:t>
      </w:r>
      <w:r>
        <w:rPr>
          <w:rFonts w:ascii="Times New Roman" w:hAnsi="Times New Roman"/>
          <w:vertAlign w:val="subscript"/>
        </w:rPr>
        <w:t>2</w:t>
      </w:r>
      <w:r>
        <w:rPr>
          <w:rFonts w:ascii="Times New Roman" w:hAnsi="Times New Roman"/>
        </w:rPr>
        <w:t>特别排放浓度限值远低于英国、日本，NOx排放浓度限值基本接近。</w:t>
      </w:r>
    </w:p>
    <w:p w14:paraId="4C7DAC82">
      <w:pPr>
        <w:rPr>
          <w:rFonts w:ascii="Times New Roman" w:hAnsi="Times New Roman" w:cs="Times New Roman"/>
          <w:b/>
          <w:bCs/>
          <w:color w:val="000000"/>
          <w:szCs w:val="32"/>
        </w:rPr>
      </w:pPr>
      <w:r>
        <w:rPr>
          <w:rFonts w:ascii="Times New Roman" w:hAnsi="Times New Roman" w:cs="Times New Roman"/>
          <w:b/>
          <w:bCs/>
          <w:color w:val="000000"/>
          <w:szCs w:val="32"/>
        </w:rPr>
        <w:br w:type="page"/>
      </w:r>
    </w:p>
    <w:p w14:paraId="5D1C07FB">
      <w:pPr>
        <w:adjustRightInd w:val="0"/>
        <w:spacing w:line="360" w:lineRule="auto"/>
        <w:jc w:val="center"/>
        <w:textAlignment w:val="baseline"/>
        <w:rPr>
          <w:rFonts w:ascii="Times New Roman" w:hAnsi="Times New Roman" w:cs="Times New Roman"/>
          <w:b/>
          <w:bCs/>
          <w:color w:val="000000"/>
          <w:szCs w:val="32"/>
        </w:rPr>
      </w:pPr>
      <w:r>
        <w:rPr>
          <w:rFonts w:ascii="Times New Roman" w:hAnsi="Times New Roman" w:cs="Times New Roman"/>
          <w:b/>
          <w:bCs/>
          <w:color w:val="000000"/>
          <w:szCs w:val="32"/>
        </w:rPr>
        <w:t>表4-3  炼铁工序热风炉SO</w:t>
      </w:r>
      <w:r>
        <w:rPr>
          <w:rFonts w:ascii="Times New Roman" w:hAnsi="Times New Roman" w:cs="Times New Roman"/>
          <w:b/>
          <w:bCs/>
          <w:color w:val="000000"/>
          <w:szCs w:val="32"/>
          <w:vertAlign w:val="subscript"/>
        </w:rPr>
        <w:t>2</w:t>
      </w:r>
      <w:r>
        <w:rPr>
          <w:rFonts w:ascii="Times New Roman" w:hAnsi="Times New Roman" w:cs="Times New Roman"/>
          <w:b/>
          <w:bCs/>
          <w:color w:val="000000"/>
          <w:szCs w:val="32"/>
        </w:rPr>
        <w:t>、NOx国外相关标准限值汇总表</w:t>
      </w:r>
    </w:p>
    <w:p w14:paraId="62FEBB89">
      <w:pPr>
        <w:pStyle w:val="77"/>
        <w:numPr>
          <w:ilvl w:val="0"/>
          <w:numId w:val="0"/>
        </w:numPr>
        <w:jc w:val="right"/>
        <w:rPr>
          <w:rFonts w:ascii="Times New Roman" w:hAnsi="Times New Roman" w:eastAsia="仿宋_GB2312" w:cs="Times New Roman"/>
          <w:szCs w:val="21"/>
        </w:rPr>
      </w:pPr>
      <w:r>
        <w:rPr>
          <w:rFonts w:ascii="Times New Roman" w:hAnsi="Times New Roman" w:cs="Times New Roman"/>
          <w:sz w:val="22"/>
          <w:szCs w:val="20"/>
        </w:rPr>
        <w:t>单位：</w:t>
      </w:r>
      <w:r>
        <w:rPr>
          <w:rFonts w:ascii="Times New Roman" w:hAnsi="Times New Roman" w:cs="Times New Roman"/>
          <w:szCs w:val="21"/>
        </w:rPr>
        <w:t>mg/Nm</w:t>
      </w:r>
      <w:r>
        <w:rPr>
          <w:rFonts w:ascii="Times New Roman" w:hAnsi="Times New Roman" w:cs="Times New Roman"/>
          <w:szCs w:val="21"/>
          <w:vertAlign w:val="superscript"/>
        </w:rPr>
        <w:t>3</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571"/>
        <w:gridCol w:w="1326"/>
        <w:gridCol w:w="980"/>
        <w:gridCol w:w="815"/>
        <w:gridCol w:w="1144"/>
        <w:gridCol w:w="1508"/>
      </w:tblGrid>
      <w:tr w14:paraId="0049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613" w:type="pct"/>
            <w:gridSpan w:val="2"/>
            <w:shd w:val="clear" w:color="auto" w:fill="auto"/>
            <w:vAlign w:val="center"/>
          </w:tcPr>
          <w:p w14:paraId="7E8414C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污染控制项目及污染源</w:t>
            </w:r>
          </w:p>
        </w:tc>
        <w:tc>
          <w:tcPr>
            <w:tcW w:w="778" w:type="pct"/>
            <w:shd w:val="clear" w:color="auto" w:fill="auto"/>
            <w:vAlign w:val="center"/>
          </w:tcPr>
          <w:p w14:paraId="1CF503A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我国现行</w:t>
            </w:r>
          </w:p>
          <w:p w14:paraId="2D51EB8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标准</w:t>
            </w:r>
          </w:p>
        </w:tc>
        <w:tc>
          <w:tcPr>
            <w:tcW w:w="575" w:type="pct"/>
            <w:shd w:val="clear" w:color="auto" w:fill="auto"/>
            <w:vAlign w:val="center"/>
          </w:tcPr>
          <w:p w14:paraId="50157F9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美国</w:t>
            </w:r>
          </w:p>
        </w:tc>
        <w:tc>
          <w:tcPr>
            <w:tcW w:w="478" w:type="pct"/>
            <w:shd w:val="clear" w:color="auto" w:fill="auto"/>
            <w:vAlign w:val="center"/>
          </w:tcPr>
          <w:p w14:paraId="0E30D1C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德国</w:t>
            </w:r>
          </w:p>
        </w:tc>
        <w:tc>
          <w:tcPr>
            <w:tcW w:w="671" w:type="pct"/>
            <w:shd w:val="clear" w:color="auto" w:fill="auto"/>
            <w:vAlign w:val="center"/>
          </w:tcPr>
          <w:p w14:paraId="06074A3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英国</w:t>
            </w:r>
          </w:p>
        </w:tc>
        <w:tc>
          <w:tcPr>
            <w:tcW w:w="885" w:type="pct"/>
            <w:shd w:val="clear" w:color="auto" w:fill="auto"/>
            <w:vAlign w:val="center"/>
          </w:tcPr>
          <w:p w14:paraId="40C5BE8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日本</w:t>
            </w:r>
          </w:p>
        </w:tc>
      </w:tr>
      <w:tr w14:paraId="126F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691" w:type="pct"/>
            <w:vAlign w:val="center"/>
          </w:tcPr>
          <w:p w14:paraId="2E246AC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Cs w:val="21"/>
              </w:rPr>
            </w:pPr>
            <w:r>
              <w:rPr>
                <w:rFonts w:hint="eastAsia" w:ascii="Times New Roman" w:hAnsi="Times New Roman" w:cs="Times New Roman"/>
                <w:color w:val="000000"/>
                <w:szCs w:val="21"/>
              </w:rPr>
              <w:t>SO</w:t>
            </w:r>
            <w:r>
              <w:rPr>
                <w:rFonts w:hint="eastAsia" w:ascii="Times New Roman" w:hAnsi="Times New Roman" w:cs="Times New Roman"/>
                <w:color w:val="000000"/>
                <w:szCs w:val="21"/>
                <w:vertAlign w:val="subscript"/>
              </w:rPr>
              <w:t>2</w:t>
            </w:r>
          </w:p>
        </w:tc>
        <w:tc>
          <w:tcPr>
            <w:tcW w:w="922" w:type="pct"/>
            <w:vAlign w:val="center"/>
          </w:tcPr>
          <w:p w14:paraId="152E932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现有企业、新建企业</w:t>
            </w:r>
          </w:p>
        </w:tc>
        <w:tc>
          <w:tcPr>
            <w:tcW w:w="778" w:type="pct"/>
            <w:vAlign w:val="center"/>
          </w:tcPr>
          <w:p w14:paraId="1603C7F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w:t>
            </w:r>
          </w:p>
        </w:tc>
        <w:tc>
          <w:tcPr>
            <w:tcW w:w="575" w:type="pct"/>
            <w:vAlign w:val="center"/>
          </w:tcPr>
          <w:p w14:paraId="09A2BE5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8" w:type="pct"/>
            <w:vAlign w:val="center"/>
          </w:tcPr>
          <w:p w14:paraId="784F022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1" w:type="pct"/>
            <w:vAlign w:val="center"/>
          </w:tcPr>
          <w:p w14:paraId="2C25A05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250</w:t>
            </w:r>
          </w:p>
        </w:tc>
        <w:tc>
          <w:tcPr>
            <w:tcW w:w="885" w:type="pct"/>
            <w:vAlign w:val="center"/>
          </w:tcPr>
          <w:p w14:paraId="4EE36D1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250Nm</w:t>
            </w:r>
            <w:r>
              <w:rPr>
                <w:rFonts w:hint="eastAsia" w:ascii="Times New Roman" w:hAnsi="Times New Roman" w:cs="Times New Roman"/>
                <w:color w:val="000000"/>
                <w:sz w:val="22"/>
                <w:szCs w:val="20"/>
                <w:vertAlign w:val="superscript"/>
              </w:rPr>
              <w:t>3</w:t>
            </w:r>
            <w:r>
              <w:rPr>
                <w:rFonts w:hint="eastAsia" w:ascii="Times New Roman" w:hAnsi="Times New Roman" w:cs="Times New Roman"/>
                <w:color w:val="000000"/>
                <w:sz w:val="22"/>
                <w:szCs w:val="20"/>
              </w:rPr>
              <w:t>/h</w:t>
            </w:r>
          </w:p>
        </w:tc>
      </w:tr>
      <w:tr w14:paraId="46DB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691" w:type="pct"/>
            <w:vAlign w:val="center"/>
          </w:tcPr>
          <w:p w14:paraId="691F5A1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Cs w:val="21"/>
              </w:rPr>
            </w:pPr>
            <w:r>
              <w:rPr>
                <w:rFonts w:hint="eastAsia" w:ascii="Times New Roman" w:hAnsi="Times New Roman" w:cs="Times New Roman"/>
                <w:color w:val="000000"/>
                <w:szCs w:val="21"/>
              </w:rPr>
              <w:t>NO</w:t>
            </w:r>
            <w:r>
              <w:rPr>
                <w:rFonts w:hint="eastAsia" w:ascii="Times New Roman" w:hAnsi="Times New Roman" w:cs="Times New Roman"/>
                <w:color w:val="000000"/>
                <w:szCs w:val="21"/>
                <w:vertAlign w:val="subscript"/>
              </w:rPr>
              <w:t>X</w:t>
            </w:r>
          </w:p>
        </w:tc>
        <w:tc>
          <w:tcPr>
            <w:tcW w:w="922" w:type="pct"/>
            <w:vAlign w:val="center"/>
          </w:tcPr>
          <w:p w14:paraId="27BD7E6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现有企业、新建企业</w:t>
            </w:r>
          </w:p>
        </w:tc>
        <w:tc>
          <w:tcPr>
            <w:tcW w:w="778" w:type="pct"/>
            <w:vAlign w:val="center"/>
          </w:tcPr>
          <w:p w14:paraId="51E94CF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300</w:t>
            </w:r>
          </w:p>
        </w:tc>
        <w:tc>
          <w:tcPr>
            <w:tcW w:w="575" w:type="pct"/>
            <w:vAlign w:val="center"/>
          </w:tcPr>
          <w:p w14:paraId="00FBF2D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8" w:type="pct"/>
            <w:vAlign w:val="center"/>
          </w:tcPr>
          <w:p w14:paraId="26AAD67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1" w:type="pct"/>
            <w:vAlign w:val="center"/>
          </w:tcPr>
          <w:p w14:paraId="3F61BE9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350</w:t>
            </w:r>
          </w:p>
        </w:tc>
        <w:tc>
          <w:tcPr>
            <w:tcW w:w="885" w:type="pct"/>
            <w:vAlign w:val="center"/>
          </w:tcPr>
          <w:p w14:paraId="272D887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100～170ppm</w:t>
            </w:r>
          </w:p>
        </w:tc>
      </w:tr>
      <w:tr w14:paraId="35AA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1613" w:type="pct"/>
            <w:gridSpan w:val="2"/>
            <w:vAlign w:val="center"/>
          </w:tcPr>
          <w:p w14:paraId="26577BC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标准制订年代</w:t>
            </w:r>
          </w:p>
        </w:tc>
        <w:tc>
          <w:tcPr>
            <w:tcW w:w="778" w:type="pct"/>
            <w:vAlign w:val="center"/>
          </w:tcPr>
          <w:p w14:paraId="2A814D9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2012年</w:t>
            </w:r>
          </w:p>
        </w:tc>
        <w:tc>
          <w:tcPr>
            <w:tcW w:w="575" w:type="pct"/>
            <w:vAlign w:val="center"/>
          </w:tcPr>
          <w:p w14:paraId="6645A0A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8" w:type="pct"/>
            <w:vAlign w:val="center"/>
          </w:tcPr>
          <w:p w14:paraId="08E4E72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1" w:type="pct"/>
            <w:vAlign w:val="center"/>
          </w:tcPr>
          <w:p w14:paraId="2F045BB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1999年</w:t>
            </w:r>
          </w:p>
        </w:tc>
        <w:tc>
          <w:tcPr>
            <w:tcW w:w="885" w:type="pct"/>
            <w:vAlign w:val="center"/>
          </w:tcPr>
          <w:p w14:paraId="65434FB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2005年</w:t>
            </w:r>
          </w:p>
        </w:tc>
      </w:tr>
    </w:tbl>
    <w:p w14:paraId="106B5503">
      <w:pPr>
        <w:pStyle w:val="13"/>
        <w:spacing w:line="360" w:lineRule="auto"/>
        <w:ind w:firstLine="480" w:firstLineChars="200"/>
        <w:rPr>
          <w:rFonts w:ascii="Times New Roman" w:hAnsi="Times New Roman"/>
        </w:rPr>
      </w:pPr>
      <w:r>
        <w:rPr>
          <w:rFonts w:ascii="Times New Roman" w:hAnsi="Times New Roman"/>
        </w:rPr>
        <w:t>（3）炼钢</w:t>
      </w:r>
    </w:p>
    <w:p w14:paraId="2DECB13C">
      <w:pPr>
        <w:pStyle w:val="13"/>
        <w:spacing w:line="360" w:lineRule="auto"/>
        <w:ind w:firstLine="480" w:firstLineChars="200"/>
        <w:jc w:val="both"/>
        <w:rPr>
          <w:rFonts w:ascii="Times New Roman" w:hAnsi="Times New Roman"/>
        </w:rPr>
      </w:pPr>
      <w:r>
        <w:rPr>
          <w:rFonts w:ascii="Times New Roman" w:hAnsi="Times New Roman"/>
        </w:rPr>
        <w:t>梳理分析美国、德国、日本、英国同类标准颗粒物、二噁英排放限值，我国现行国标转炉二次烟气颗粒物特别排放限值与国外标准限值基本处于同一水平，转炉一次与电炉冶炼废气颗粒物排放限值较国外标准相对宽松，尚有一定收严的空间，二噁英排放限值与国外标准持平，详见表4-4。</w:t>
      </w:r>
    </w:p>
    <w:p w14:paraId="013520F9">
      <w:pPr>
        <w:adjustRightInd w:val="0"/>
        <w:spacing w:line="360" w:lineRule="auto"/>
        <w:jc w:val="center"/>
        <w:textAlignment w:val="baseline"/>
        <w:rPr>
          <w:rFonts w:ascii="Times New Roman" w:hAnsi="Times New Roman" w:cs="Times New Roman"/>
          <w:b/>
          <w:bCs/>
          <w:color w:val="000000"/>
          <w:szCs w:val="32"/>
        </w:rPr>
      </w:pPr>
      <w:bookmarkStart w:id="13" w:name="_Ref514146717"/>
      <w:r>
        <w:rPr>
          <w:rFonts w:ascii="Times New Roman" w:hAnsi="Times New Roman" w:cs="Times New Roman"/>
          <w:b/>
          <w:bCs/>
          <w:color w:val="000000"/>
          <w:szCs w:val="32"/>
        </w:rPr>
        <w:t>表4</w:t>
      </w:r>
      <w:r>
        <w:rPr>
          <w:rFonts w:ascii="Times New Roman" w:hAnsi="Times New Roman" w:cs="Times New Roman"/>
          <w:b/>
          <w:bCs/>
          <w:color w:val="000000"/>
          <w:szCs w:val="32"/>
        </w:rPr>
        <w:noBreakHyphen/>
      </w:r>
      <w:bookmarkEnd w:id="13"/>
      <w:r>
        <w:rPr>
          <w:rFonts w:ascii="Times New Roman" w:hAnsi="Times New Roman" w:cs="Times New Roman"/>
          <w:b/>
          <w:bCs/>
          <w:color w:val="000000"/>
          <w:szCs w:val="32"/>
        </w:rPr>
        <w:t>4  炼钢工序国外相关标准限值汇总表</w:t>
      </w:r>
    </w:p>
    <w:p w14:paraId="4C210B45">
      <w:pPr>
        <w:spacing w:line="360" w:lineRule="auto"/>
        <w:ind w:firstLine="440" w:firstLineChars="200"/>
        <w:jc w:val="right"/>
        <w:rPr>
          <w:rFonts w:ascii="Times New Roman" w:hAnsi="Times New Roman" w:cs="Times New Roman"/>
          <w:szCs w:val="21"/>
        </w:rPr>
      </w:pPr>
      <w:r>
        <w:rPr>
          <w:rFonts w:ascii="Times New Roman" w:hAnsi="Times New Roman" w:cs="Times New Roman"/>
          <w:sz w:val="22"/>
          <w:szCs w:val="20"/>
        </w:rPr>
        <w:t>单位：</w:t>
      </w:r>
      <w:r>
        <w:rPr>
          <w:rFonts w:ascii="Times New Roman" w:hAnsi="Times New Roman" w:cs="Times New Roman"/>
          <w:szCs w:val="21"/>
        </w:rPr>
        <w:t>mg/m</w:t>
      </w:r>
      <w:r>
        <w:rPr>
          <w:rFonts w:ascii="Times New Roman" w:hAnsi="Times New Roman" w:cs="Times New Roman"/>
          <w:szCs w:val="21"/>
          <w:vertAlign w:val="superscript"/>
        </w:rPr>
        <w:t>3</w:t>
      </w:r>
    </w:p>
    <w:tbl>
      <w:tblPr>
        <w:tblStyle w:val="27"/>
        <w:tblW w:w="5000" w:type="pct"/>
        <w:jc w:val="center"/>
        <w:tblLayout w:type="fixed"/>
        <w:tblCellMar>
          <w:top w:w="0" w:type="dxa"/>
          <w:left w:w="0" w:type="dxa"/>
          <w:bottom w:w="0" w:type="dxa"/>
          <w:right w:w="0" w:type="dxa"/>
        </w:tblCellMar>
      </w:tblPr>
      <w:tblGrid>
        <w:gridCol w:w="1141"/>
        <w:gridCol w:w="1498"/>
        <w:gridCol w:w="1175"/>
        <w:gridCol w:w="1175"/>
        <w:gridCol w:w="1332"/>
        <w:gridCol w:w="1332"/>
        <w:gridCol w:w="942"/>
      </w:tblGrid>
      <w:tr w14:paraId="793093E9">
        <w:tblPrEx>
          <w:tblCellMar>
            <w:top w:w="0" w:type="dxa"/>
            <w:left w:w="0" w:type="dxa"/>
            <w:bottom w:w="0" w:type="dxa"/>
            <w:right w:w="0" w:type="dxa"/>
          </w:tblCellMar>
        </w:tblPrEx>
        <w:trPr>
          <w:trHeight w:val="284" w:hRule="atLeast"/>
          <w:jc w:val="center"/>
        </w:trPr>
        <w:tc>
          <w:tcPr>
            <w:tcW w:w="1101" w:type="dxa"/>
            <w:vMerge w:val="restart"/>
            <w:tcBorders>
              <w:top w:val="single" w:color="000000" w:sz="4" w:space="0"/>
              <w:left w:val="single" w:color="000000" w:sz="4" w:space="0"/>
              <w:right w:val="single" w:color="auto" w:sz="4" w:space="0"/>
            </w:tcBorders>
            <w:shd w:val="clear" w:color="auto" w:fill="auto"/>
            <w:tcMar>
              <w:top w:w="72" w:type="dxa"/>
              <w:left w:w="144" w:type="dxa"/>
              <w:bottom w:w="72" w:type="dxa"/>
              <w:right w:w="144" w:type="dxa"/>
            </w:tcMar>
            <w:vAlign w:val="center"/>
          </w:tcPr>
          <w:p w14:paraId="7997068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污染物</w:t>
            </w:r>
          </w:p>
        </w:tc>
        <w:tc>
          <w:tcPr>
            <w:tcW w:w="1446" w:type="dxa"/>
            <w:vMerge w:val="restart"/>
            <w:tcBorders>
              <w:top w:val="single" w:color="000000" w:sz="4" w:space="0"/>
              <w:left w:val="single" w:color="auto" w:sz="4" w:space="0"/>
              <w:right w:val="single" w:color="000000" w:sz="4" w:space="0"/>
            </w:tcBorders>
            <w:shd w:val="clear" w:color="auto" w:fill="auto"/>
            <w:vAlign w:val="center"/>
          </w:tcPr>
          <w:p w14:paraId="192B178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生产工序</w:t>
            </w:r>
          </w:p>
          <w:p w14:paraId="62C17A5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或设施</w:t>
            </w:r>
          </w:p>
        </w:tc>
        <w:tc>
          <w:tcPr>
            <w:tcW w:w="2268" w:type="dxa"/>
            <w:gridSpan w:val="2"/>
            <w:tcBorders>
              <w:top w:val="single" w:color="000000" w:sz="4" w:space="0"/>
              <w:left w:val="single" w:color="000000" w:sz="4" w:space="0"/>
              <w:bottom w:val="single" w:color="auto" w:sz="4" w:space="0"/>
              <w:right w:val="single" w:color="000000" w:sz="4" w:space="0"/>
            </w:tcBorders>
            <w:shd w:val="clear" w:color="auto" w:fill="auto"/>
            <w:tcMar>
              <w:top w:w="72" w:type="dxa"/>
              <w:left w:w="144" w:type="dxa"/>
              <w:bottom w:w="72" w:type="dxa"/>
              <w:right w:w="144" w:type="dxa"/>
            </w:tcMar>
            <w:vAlign w:val="center"/>
          </w:tcPr>
          <w:p w14:paraId="281A0D7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GB28664-2012</w:t>
            </w:r>
          </w:p>
        </w:tc>
        <w:tc>
          <w:tcPr>
            <w:tcW w:w="1286" w:type="dxa"/>
            <w:vMerge w:val="restart"/>
            <w:tcBorders>
              <w:top w:val="single" w:color="000000" w:sz="4" w:space="0"/>
              <w:left w:val="single" w:color="000000" w:sz="4" w:space="0"/>
              <w:right w:val="single" w:color="000000" w:sz="4" w:space="0"/>
            </w:tcBorders>
            <w:shd w:val="clear" w:color="auto" w:fill="auto"/>
            <w:tcMar>
              <w:top w:w="72" w:type="dxa"/>
              <w:left w:w="144" w:type="dxa"/>
              <w:bottom w:w="72" w:type="dxa"/>
              <w:right w:w="144" w:type="dxa"/>
            </w:tcMar>
            <w:vAlign w:val="center"/>
          </w:tcPr>
          <w:p w14:paraId="3FD566F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美国</w:t>
            </w:r>
          </w:p>
        </w:tc>
        <w:tc>
          <w:tcPr>
            <w:tcW w:w="1286" w:type="dxa"/>
            <w:vMerge w:val="restart"/>
            <w:tcBorders>
              <w:top w:val="single" w:color="000000" w:sz="4" w:space="0"/>
              <w:left w:val="single" w:color="000000" w:sz="4" w:space="0"/>
              <w:right w:val="single" w:color="000000" w:sz="4" w:space="0"/>
            </w:tcBorders>
            <w:shd w:val="clear" w:color="auto" w:fill="auto"/>
            <w:tcMar>
              <w:top w:w="72" w:type="dxa"/>
              <w:left w:w="144" w:type="dxa"/>
              <w:bottom w:w="72" w:type="dxa"/>
              <w:right w:w="144" w:type="dxa"/>
            </w:tcMar>
            <w:vAlign w:val="center"/>
          </w:tcPr>
          <w:p w14:paraId="1D2C0DA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德国</w:t>
            </w:r>
          </w:p>
        </w:tc>
        <w:tc>
          <w:tcPr>
            <w:tcW w:w="909" w:type="dxa"/>
            <w:vMerge w:val="restart"/>
            <w:tcBorders>
              <w:top w:val="single" w:color="000000" w:sz="4" w:space="0"/>
              <w:left w:val="single" w:color="000000" w:sz="4" w:space="0"/>
              <w:right w:val="single" w:color="000000" w:sz="4" w:space="0"/>
            </w:tcBorders>
            <w:shd w:val="clear" w:color="auto" w:fill="auto"/>
            <w:tcMar>
              <w:top w:w="72" w:type="dxa"/>
              <w:left w:w="144" w:type="dxa"/>
              <w:bottom w:w="72" w:type="dxa"/>
              <w:right w:w="144" w:type="dxa"/>
            </w:tcMar>
            <w:vAlign w:val="center"/>
          </w:tcPr>
          <w:p w14:paraId="27044BB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日本</w:t>
            </w:r>
          </w:p>
        </w:tc>
      </w:tr>
      <w:tr w14:paraId="160F56FA">
        <w:tblPrEx>
          <w:tblCellMar>
            <w:top w:w="0" w:type="dxa"/>
            <w:left w:w="0" w:type="dxa"/>
            <w:bottom w:w="0" w:type="dxa"/>
            <w:right w:w="0" w:type="dxa"/>
          </w:tblCellMar>
        </w:tblPrEx>
        <w:trPr>
          <w:trHeight w:val="284" w:hRule="atLeast"/>
          <w:jc w:val="center"/>
        </w:trPr>
        <w:tc>
          <w:tcPr>
            <w:tcW w:w="1101" w:type="dxa"/>
            <w:vMerge w:val="continue"/>
            <w:tcBorders>
              <w:left w:val="single" w:color="000000" w:sz="4" w:space="0"/>
              <w:bottom w:val="single" w:color="000000" w:sz="4" w:space="0"/>
              <w:right w:val="single" w:color="auto" w:sz="4" w:space="0"/>
            </w:tcBorders>
            <w:shd w:val="clear" w:color="auto" w:fill="auto"/>
            <w:tcMar>
              <w:top w:w="72" w:type="dxa"/>
              <w:left w:w="144" w:type="dxa"/>
              <w:bottom w:w="72" w:type="dxa"/>
              <w:right w:w="144" w:type="dxa"/>
            </w:tcMar>
            <w:vAlign w:val="center"/>
          </w:tcPr>
          <w:p w14:paraId="3DA2A60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c>
          <w:tcPr>
            <w:tcW w:w="1446" w:type="dxa"/>
            <w:vMerge w:val="continue"/>
            <w:tcBorders>
              <w:left w:val="single" w:color="auto" w:sz="4" w:space="0"/>
              <w:bottom w:val="single" w:color="000000" w:sz="4" w:space="0"/>
              <w:right w:val="single" w:color="000000" w:sz="4" w:space="0"/>
            </w:tcBorders>
            <w:shd w:val="clear" w:color="auto" w:fill="auto"/>
            <w:vAlign w:val="center"/>
          </w:tcPr>
          <w:p w14:paraId="709FCC1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c>
          <w:tcPr>
            <w:tcW w:w="1134" w:type="dxa"/>
            <w:tcBorders>
              <w:top w:val="single" w:color="auto" w:sz="4" w:space="0"/>
              <w:left w:val="single" w:color="000000" w:sz="4" w:space="0"/>
              <w:bottom w:val="single" w:color="000000" w:sz="4" w:space="0"/>
              <w:right w:val="single" w:color="auto" w:sz="4" w:space="0"/>
            </w:tcBorders>
            <w:shd w:val="clear" w:color="auto" w:fill="auto"/>
            <w:tcMar>
              <w:top w:w="72" w:type="dxa"/>
              <w:left w:w="144" w:type="dxa"/>
              <w:bottom w:w="72" w:type="dxa"/>
              <w:right w:w="144" w:type="dxa"/>
            </w:tcMar>
            <w:vAlign w:val="center"/>
          </w:tcPr>
          <w:p w14:paraId="1AA4F18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新建企业</w:t>
            </w:r>
          </w:p>
        </w:tc>
        <w:tc>
          <w:tcPr>
            <w:tcW w:w="1134" w:type="dxa"/>
            <w:tcBorders>
              <w:top w:val="single" w:color="auto" w:sz="4" w:space="0"/>
              <w:left w:val="single" w:color="auto" w:sz="4" w:space="0"/>
              <w:bottom w:val="single" w:color="000000" w:sz="4" w:space="0"/>
              <w:right w:val="single" w:color="000000" w:sz="4" w:space="0"/>
            </w:tcBorders>
            <w:shd w:val="clear" w:color="auto" w:fill="auto"/>
            <w:vAlign w:val="center"/>
          </w:tcPr>
          <w:p w14:paraId="64CFED5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特别排放</w:t>
            </w:r>
          </w:p>
          <w:p w14:paraId="74FFDFB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限值</w:t>
            </w:r>
          </w:p>
        </w:tc>
        <w:tc>
          <w:tcPr>
            <w:tcW w:w="1286" w:type="dxa"/>
            <w:vMerge w:val="continue"/>
            <w:tcBorders>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3D11DF6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c>
          <w:tcPr>
            <w:tcW w:w="1286" w:type="dxa"/>
            <w:vMerge w:val="continue"/>
            <w:tcBorders>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41A6562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c>
          <w:tcPr>
            <w:tcW w:w="909" w:type="dxa"/>
            <w:vMerge w:val="continue"/>
            <w:tcBorders>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43E3A1F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r>
      <w:tr w14:paraId="2C5B3265">
        <w:tblPrEx>
          <w:tblCellMar>
            <w:top w:w="0" w:type="dxa"/>
            <w:left w:w="0" w:type="dxa"/>
            <w:bottom w:w="0" w:type="dxa"/>
            <w:right w:w="0" w:type="dxa"/>
          </w:tblCellMar>
        </w:tblPrEx>
        <w:trPr>
          <w:trHeight w:val="284" w:hRule="atLeast"/>
          <w:jc w:val="center"/>
        </w:trPr>
        <w:tc>
          <w:tcPr>
            <w:tcW w:w="1101" w:type="dxa"/>
            <w:vMerge w:val="restart"/>
            <w:tcBorders>
              <w:top w:val="single" w:color="000000" w:sz="4" w:space="0"/>
              <w:left w:val="single" w:color="000000" w:sz="4" w:space="0"/>
              <w:bottom w:val="single" w:color="000000" w:sz="4" w:space="0"/>
              <w:right w:val="single" w:color="auto" w:sz="4" w:space="0"/>
            </w:tcBorders>
            <w:shd w:val="clear" w:color="auto" w:fill="auto"/>
            <w:tcMar>
              <w:top w:w="72" w:type="dxa"/>
              <w:left w:w="144" w:type="dxa"/>
              <w:bottom w:w="72" w:type="dxa"/>
              <w:right w:w="144" w:type="dxa"/>
            </w:tcMar>
            <w:vAlign w:val="center"/>
          </w:tcPr>
          <w:p w14:paraId="0FE8DB2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1446" w:type="dxa"/>
            <w:tcBorders>
              <w:top w:val="single" w:color="000000" w:sz="4" w:space="0"/>
              <w:left w:val="single" w:color="auto"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1E3C0F3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转炉</w:t>
            </w:r>
          </w:p>
          <w:p w14:paraId="5414453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（一次烟气）</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72" w:type="dxa"/>
              <w:left w:w="144" w:type="dxa"/>
              <w:bottom w:w="72" w:type="dxa"/>
              <w:right w:w="144" w:type="dxa"/>
            </w:tcMar>
            <w:vAlign w:val="center"/>
          </w:tcPr>
          <w:p w14:paraId="6742052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1DF5D7F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3AE477C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22.9</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3EB50B8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50（现有）</w:t>
            </w:r>
          </w:p>
          <w:p w14:paraId="6481E14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20（新建）</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00879E4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r w14:paraId="0B3851DA">
        <w:tblPrEx>
          <w:tblCellMar>
            <w:top w:w="0" w:type="dxa"/>
            <w:left w:w="0" w:type="dxa"/>
            <w:bottom w:w="0" w:type="dxa"/>
            <w:right w:w="0" w:type="dxa"/>
          </w:tblCellMar>
        </w:tblPrEx>
        <w:trPr>
          <w:trHeight w:val="284" w:hRule="atLeast"/>
          <w:jc w:val="center"/>
        </w:trPr>
        <w:tc>
          <w:tcPr>
            <w:tcW w:w="1101" w:type="dxa"/>
            <w:vMerge w:val="continue"/>
            <w:tcBorders>
              <w:top w:val="single" w:color="000000" w:sz="4" w:space="0"/>
              <w:left w:val="single" w:color="000000" w:sz="4" w:space="0"/>
              <w:bottom w:val="single" w:color="000000" w:sz="4" w:space="0"/>
              <w:right w:val="single" w:color="auto" w:sz="4" w:space="0"/>
            </w:tcBorders>
            <w:vAlign w:val="center"/>
          </w:tcPr>
          <w:p w14:paraId="4BA35C1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c>
          <w:tcPr>
            <w:tcW w:w="1446" w:type="dxa"/>
            <w:tcBorders>
              <w:top w:val="single" w:color="000000" w:sz="4" w:space="0"/>
              <w:left w:val="single" w:color="auto"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2ABCD5F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转炉</w:t>
            </w:r>
          </w:p>
          <w:p w14:paraId="3B84310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（二次烟气）</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72" w:type="dxa"/>
              <w:left w:w="144" w:type="dxa"/>
              <w:bottom w:w="72" w:type="dxa"/>
              <w:right w:w="144" w:type="dxa"/>
            </w:tcMar>
            <w:vAlign w:val="center"/>
          </w:tcPr>
          <w:p w14:paraId="47FA7EA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37AD1AA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703424E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11.9</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2FD86D5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023E22A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r w14:paraId="1F616EEB">
        <w:tblPrEx>
          <w:tblCellMar>
            <w:top w:w="0" w:type="dxa"/>
            <w:left w:w="0" w:type="dxa"/>
            <w:bottom w:w="0" w:type="dxa"/>
            <w:right w:w="0" w:type="dxa"/>
          </w:tblCellMar>
        </w:tblPrEx>
        <w:trPr>
          <w:trHeight w:val="284" w:hRule="atLeast"/>
          <w:jc w:val="center"/>
        </w:trPr>
        <w:tc>
          <w:tcPr>
            <w:tcW w:w="1101" w:type="dxa"/>
            <w:vMerge w:val="continue"/>
            <w:tcBorders>
              <w:top w:val="single" w:color="000000" w:sz="4" w:space="0"/>
              <w:left w:val="single" w:color="000000" w:sz="4" w:space="0"/>
              <w:bottom w:val="single" w:color="000000" w:sz="4" w:space="0"/>
              <w:right w:val="single" w:color="auto" w:sz="4" w:space="0"/>
            </w:tcBorders>
            <w:vAlign w:val="center"/>
          </w:tcPr>
          <w:p w14:paraId="202E857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c>
          <w:tcPr>
            <w:tcW w:w="1446" w:type="dxa"/>
            <w:tcBorders>
              <w:top w:val="single" w:color="000000" w:sz="4" w:space="0"/>
              <w:left w:val="single" w:color="auto"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12CEF88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电炉</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72" w:type="dxa"/>
              <w:left w:w="144" w:type="dxa"/>
              <w:bottom w:w="72" w:type="dxa"/>
              <w:right w:w="144" w:type="dxa"/>
            </w:tcMar>
            <w:vAlign w:val="center"/>
          </w:tcPr>
          <w:p w14:paraId="041C98F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190926A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3F11C71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11.45</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7913EE5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5（新建）</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6E38385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r>
      <w:tr w14:paraId="1C810AFB">
        <w:tblPrEx>
          <w:tblCellMar>
            <w:top w:w="0" w:type="dxa"/>
            <w:left w:w="0" w:type="dxa"/>
            <w:bottom w:w="0" w:type="dxa"/>
            <w:right w:w="0" w:type="dxa"/>
          </w:tblCellMar>
        </w:tblPrEx>
        <w:trPr>
          <w:trHeight w:val="284" w:hRule="atLeast"/>
          <w:jc w:val="center"/>
        </w:trPr>
        <w:tc>
          <w:tcPr>
            <w:tcW w:w="1101" w:type="dxa"/>
            <w:tcBorders>
              <w:top w:val="single" w:color="000000" w:sz="4" w:space="0"/>
              <w:left w:val="single" w:color="000000" w:sz="4" w:space="0"/>
              <w:bottom w:val="single" w:color="000000" w:sz="4" w:space="0"/>
              <w:right w:val="single" w:color="auto" w:sz="4" w:space="0"/>
            </w:tcBorders>
            <w:vAlign w:val="center"/>
          </w:tcPr>
          <w:p w14:paraId="1012315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二噁英类</w:t>
            </w:r>
          </w:p>
          <w:p w14:paraId="64AA15E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(ng-TEQ/m</w:t>
            </w:r>
            <w:r>
              <w:rPr>
                <w:rFonts w:hint="eastAsia" w:ascii="Times New Roman" w:hAnsi="Times New Roman" w:cs="Times New Roman"/>
                <w:color w:val="000000"/>
                <w:sz w:val="22"/>
                <w:szCs w:val="20"/>
                <w:vertAlign w:val="superscript"/>
              </w:rPr>
              <w:t>3</w:t>
            </w:r>
            <w:r>
              <w:rPr>
                <w:rFonts w:hint="eastAsia" w:ascii="Times New Roman" w:hAnsi="Times New Roman" w:cs="Times New Roman"/>
                <w:color w:val="000000"/>
                <w:sz w:val="22"/>
                <w:szCs w:val="20"/>
              </w:rPr>
              <w:t>)</w:t>
            </w:r>
          </w:p>
        </w:tc>
        <w:tc>
          <w:tcPr>
            <w:tcW w:w="1446" w:type="dxa"/>
            <w:tcBorders>
              <w:top w:val="single" w:color="000000" w:sz="4" w:space="0"/>
              <w:left w:val="single" w:color="auto"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2923AD3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电炉</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72" w:type="dxa"/>
              <w:left w:w="144" w:type="dxa"/>
              <w:bottom w:w="72" w:type="dxa"/>
              <w:right w:w="144" w:type="dxa"/>
            </w:tcMar>
            <w:vAlign w:val="center"/>
          </w:tcPr>
          <w:p w14:paraId="52840DC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6548D89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416CD9E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0.5（英国）</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7A9E2B8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14:paraId="006175C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r>
    </w:tbl>
    <w:p w14:paraId="19EAA464">
      <w:pPr>
        <w:pStyle w:val="13"/>
        <w:spacing w:line="360" w:lineRule="auto"/>
        <w:ind w:firstLine="480" w:firstLineChars="200"/>
        <w:rPr>
          <w:rFonts w:ascii="Times New Roman" w:hAnsi="Times New Roman"/>
        </w:rPr>
      </w:pPr>
      <w:r>
        <w:rPr>
          <w:rFonts w:ascii="Times New Roman" w:hAnsi="Times New Roman"/>
        </w:rPr>
        <w:t>（4）轧钢</w:t>
      </w:r>
    </w:p>
    <w:p w14:paraId="72F0ABBA">
      <w:pPr>
        <w:pStyle w:val="13"/>
        <w:spacing w:line="360" w:lineRule="auto"/>
        <w:ind w:firstLine="480" w:firstLineChars="200"/>
        <w:jc w:val="both"/>
        <w:rPr>
          <w:rFonts w:ascii="Times New Roman" w:hAnsi="Times New Roman"/>
        </w:rPr>
      </w:pPr>
      <w:r>
        <w:rPr>
          <w:rFonts w:ascii="Times New Roman" w:hAnsi="Times New Roman"/>
        </w:rPr>
        <w:t>我国轧钢工业大气污染物排放标准颗粒物、SO</w:t>
      </w:r>
      <w:r>
        <w:rPr>
          <w:rFonts w:ascii="Times New Roman" w:hAnsi="Times New Roman"/>
          <w:vertAlign w:val="subscript"/>
        </w:rPr>
        <w:t>2</w:t>
      </w:r>
      <w:r>
        <w:rPr>
          <w:rFonts w:ascii="Times New Roman" w:hAnsi="Times New Roman"/>
        </w:rPr>
        <w:t>、NOx排放限值与德国、日本排放标准限值基本持平，详见表4-5。</w:t>
      </w:r>
    </w:p>
    <w:p w14:paraId="04DA2FC1">
      <w:pPr>
        <w:rPr>
          <w:rFonts w:ascii="Times New Roman" w:hAnsi="Times New Roman" w:cs="Times New Roman"/>
          <w:b/>
          <w:bCs/>
          <w:color w:val="000000"/>
          <w:szCs w:val="32"/>
        </w:rPr>
      </w:pPr>
      <w:bookmarkStart w:id="14" w:name="_Hlk68378075"/>
      <w:r>
        <w:rPr>
          <w:rFonts w:ascii="Times New Roman" w:hAnsi="Times New Roman" w:cs="Times New Roman"/>
          <w:b/>
          <w:bCs/>
          <w:color w:val="000000"/>
          <w:szCs w:val="32"/>
        </w:rPr>
        <w:br w:type="page"/>
      </w:r>
    </w:p>
    <w:p w14:paraId="5896D08F">
      <w:pPr>
        <w:adjustRightInd w:val="0"/>
        <w:spacing w:line="360" w:lineRule="auto"/>
        <w:jc w:val="center"/>
        <w:textAlignment w:val="baseline"/>
        <w:rPr>
          <w:rFonts w:ascii="Times New Roman" w:hAnsi="Times New Roman" w:eastAsia="仿宋_GB2312" w:cs="Times New Roman"/>
          <w:b/>
        </w:rPr>
      </w:pPr>
      <w:r>
        <w:rPr>
          <w:rFonts w:ascii="Times New Roman" w:hAnsi="Times New Roman" w:cs="Times New Roman"/>
          <w:b/>
          <w:bCs/>
          <w:color w:val="000000"/>
          <w:szCs w:val="32"/>
        </w:rPr>
        <w:t>表4-5  轧钢工序国外相关标准限值汇总表</w:t>
      </w:r>
      <w:r>
        <w:rPr>
          <w:rFonts w:ascii="Times New Roman" w:hAnsi="Times New Roman" w:eastAsia="仿宋_GB2312" w:cs="Times New Roman"/>
          <w:b/>
        </w:rPr>
        <w:t xml:space="preserve"> </w:t>
      </w:r>
    </w:p>
    <w:p w14:paraId="60D6FFBB">
      <w:pPr>
        <w:ind w:firstLine="440" w:firstLineChars="200"/>
        <w:jc w:val="right"/>
        <w:rPr>
          <w:rFonts w:ascii="Times New Roman" w:hAnsi="Times New Roman" w:cs="Times New Roman"/>
          <w:szCs w:val="21"/>
        </w:rPr>
      </w:pPr>
      <w:r>
        <w:rPr>
          <w:rFonts w:ascii="Times New Roman" w:hAnsi="Times New Roman" w:cs="Times New Roman"/>
          <w:sz w:val="22"/>
          <w:szCs w:val="20"/>
        </w:rPr>
        <w:t>单位：</w:t>
      </w:r>
      <w:r>
        <w:rPr>
          <w:rFonts w:ascii="Times New Roman" w:hAnsi="Times New Roman" w:cs="Times New Roman"/>
          <w:szCs w:val="21"/>
        </w:rPr>
        <w:t>mg/m</w:t>
      </w:r>
      <w:r>
        <w:rPr>
          <w:rFonts w:ascii="Times New Roman" w:hAnsi="Times New Roman" w:cs="Times New Roman"/>
          <w:szCs w:val="21"/>
          <w:vertAlign w:val="superscript"/>
        </w:rPr>
        <w:t>3</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01"/>
        <w:gridCol w:w="1133"/>
        <w:gridCol w:w="1982"/>
        <w:gridCol w:w="1701"/>
        <w:gridCol w:w="1702"/>
      </w:tblGrid>
      <w:tr w14:paraId="3B48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129" w:type="pct"/>
            <w:vMerge w:val="restart"/>
            <w:shd w:val="clear" w:color="auto" w:fill="auto"/>
            <w:tcMar>
              <w:top w:w="15" w:type="dxa"/>
              <w:left w:w="108" w:type="dxa"/>
              <w:bottom w:w="0" w:type="dxa"/>
              <w:right w:w="108" w:type="dxa"/>
            </w:tcMar>
            <w:vAlign w:val="center"/>
          </w:tcPr>
          <w:p w14:paraId="64C1748F">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污染源</w:t>
            </w:r>
          </w:p>
        </w:tc>
        <w:tc>
          <w:tcPr>
            <w:tcW w:w="673" w:type="pct"/>
            <w:vMerge w:val="restart"/>
            <w:shd w:val="clear" w:color="auto" w:fill="auto"/>
            <w:tcMar>
              <w:top w:w="15" w:type="dxa"/>
              <w:left w:w="108" w:type="dxa"/>
              <w:bottom w:w="0" w:type="dxa"/>
              <w:right w:w="108" w:type="dxa"/>
            </w:tcMar>
            <w:vAlign w:val="center"/>
          </w:tcPr>
          <w:p w14:paraId="5F883237">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污染物</w:t>
            </w:r>
          </w:p>
        </w:tc>
        <w:tc>
          <w:tcPr>
            <w:tcW w:w="1177" w:type="pct"/>
            <w:vMerge w:val="restart"/>
            <w:shd w:val="clear" w:color="auto" w:fill="auto"/>
            <w:tcMar>
              <w:top w:w="15" w:type="dxa"/>
              <w:left w:w="108" w:type="dxa"/>
              <w:bottom w:w="0" w:type="dxa"/>
              <w:right w:w="108" w:type="dxa"/>
            </w:tcMar>
            <w:vAlign w:val="center"/>
          </w:tcPr>
          <w:p w14:paraId="18B68B0F">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我国现行标准</w:t>
            </w:r>
          </w:p>
          <w:p w14:paraId="48E90D2D">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sz w:val="22"/>
                <w:szCs w:val="20"/>
              </w:rPr>
              <w:t>特别排放限值</w:t>
            </w:r>
          </w:p>
        </w:tc>
        <w:tc>
          <w:tcPr>
            <w:tcW w:w="2021" w:type="pct"/>
            <w:gridSpan w:val="2"/>
            <w:shd w:val="clear" w:color="auto" w:fill="auto"/>
            <w:vAlign w:val="center"/>
          </w:tcPr>
          <w:p w14:paraId="408E03DA">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国外排放限值</w:t>
            </w:r>
          </w:p>
        </w:tc>
      </w:tr>
      <w:tr w14:paraId="6653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129" w:type="pct"/>
            <w:vMerge w:val="continue"/>
            <w:shd w:val="clear" w:color="auto" w:fill="auto"/>
            <w:tcMar>
              <w:top w:w="15" w:type="dxa"/>
              <w:left w:w="108" w:type="dxa"/>
              <w:bottom w:w="0" w:type="dxa"/>
              <w:right w:w="108" w:type="dxa"/>
            </w:tcMar>
            <w:vAlign w:val="center"/>
          </w:tcPr>
          <w:p w14:paraId="16F2BB0E">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p>
        </w:tc>
        <w:tc>
          <w:tcPr>
            <w:tcW w:w="673" w:type="pct"/>
            <w:vMerge w:val="continue"/>
            <w:shd w:val="clear" w:color="auto" w:fill="auto"/>
            <w:tcMar>
              <w:top w:w="15" w:type="dxa"/>
              <w:left w:w="108" w:type="dxa"/>
              <w:bottom w:w="0" w:type="dxa"/>
              <w:right w:w="108" w:type="dxa"/>
            </w:tcMar>
            <w:vAlign w:val="center"/>
          </w:tcPr>
          <w:p w14:paraId="5385AC6A">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p>
        </w:tc>
        <w:tc>
          <w:tcPr>
            <w:tcW w:w="1177" w:type="pct"/>
            <w:vMerge w:val="continue"/>
            <w:shd w:val="clear" w:color="auto" w:fill="auto"/>
            <w:tcMar>
              <w:top w:w="15" w:type="dxa"/>
              <w:left w:w="108" w:type="dxa"/>
              <w:bottom w:w="0" w:type="dxa"/>
              <w:right w:w="108" w:type="dxa"/>
            </w:tcMar>
            <w:vAlign w:val="center"/>
          </w:tcPr>
          <w:p w14:paraId="5F14BD4A">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sz w:val="22"/>
                <w:szCs w:val="20"/>
              </w:rPr>
            </w:pPr>
          </w:p>
        </w:tc>
        <w:tc>
          <w:tcPr>
            <w:tcW w:w="1010" w:type="pct"/>
            <w:shd w:val="clear" w:color="auto" w:fill="auto"/>
            <w:tcMar>
              <w:top w:w="15" w:type="dxa"/>
              <w:left w:w="108" w:type="dxa"/>
              <w:bottom w:w="0" w:type="dxa"/>
              <w:right w:w="108" w:type="dxa"/>
            </w:tcMar>
            <w:vAlign w:val="center"/>
          </w:tcPr>
          <w:p w14:paraId="04D27561">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德国</w:t>
            </w:r>
          </w:p>
        </w:tc>
        <w:tc>
          <w:tcPr>
            <w:tcW w:w="1011" w:type="pct"/>
            <w:vAlign w:val="center"/>
          </w:tcPr>
          <w:p w14:paraId="1C1A9ABE">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日本</w:t>
            </w:r>
          </w:p>
        </w:tc>
      </w:tr>
      <w:tr w14:paraId="205A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exact"/>
          <w:jc w:val="center"/>
        </w:trPr>
        <w:tc>
          <w:tcPr>
            <w:tcW w:w="1129" w:type="pct"/>
            <w:shd w:val="clear" w:color="auto" w:fill="auto"/>
            <w:tcMar>
              <w:top w:w="15" w:type="dxa"/>
              <w:left w:w="108" w:type="dxa"/>
              <w:bottom w:w="0" w:type="dxa"/>
              <w:right w:w="108" w:type="dxa"/>
            </w:tcMar>
            <w:vAlign w:val="center"/>
          </w:tcPr>
          <w:p w14:paraId="4EF5467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轧钢各除尘系统</w:t>
            </w:r>
          </w:p>
        </w:tc>
        <w:tc>
          <w:tcPr>
            <w:tcW w:w="673" w:type="pct"/>
            <w:shd w:val="clear" w:color="auto" w:fill="auto"/>
            <w:tcMar>
              <w:top w:w="15" w:type="dxa"/>
              <w:left w:w="108" w:type="dxa"/>
              <w:bottom w:w="0" w:type="dxa"/>
              <w:right w:w="108" w:type="dxa"/>
            </w:tcMar>
            <w:vAlign w:val="center"/>
          </w:tcPr>
          <w:p w14:paraId="5DBDFC6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颗粒物</w:t>
            </w:r>
          </w:p>
        </w:tc>
        <w:tc>
          <w:tcPr>
            <w:tcW w:w="1177" w:type="pct"/>
            <w:shd w:val="clear" w:color="auto" w:fill="auto"/>
            <w:tcMar>
              <w:top w:w="15" w:type="dxa"/>
              <w:left w:w="108" w:type="dxa"/>
              <w:bottom w:w="0" w:type="dxa"/>
              <w:right w:w="108" w:type="dxa"/>
            </w:tcMar>
            <w:vAlign w:val="center"/>
          </w:tcPr>
          <w:p w14:paraId="1936886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20（热轧）</w:t>
            </w:r>
          </w:p>
          <w:p w14:paraId="0328D58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15（其他）</w:t>
            </w:r>
          </w:p>
        </w:tc>
        <w:tc>
          <w:tcPr>
            <w:tcW w:w="1010" w:type="pct"/>
            <w:shd w:val="clear" w:color="auto" w:fill="auto"/>
            <w:tcMar>
              <w:top w:w="15" w:type="dxa"/>
              <w:left w:w="108" w:type="dxa"/>
              <w:bottom w:w="0" w:type="dxa"/>
              <w:right w:w="108" w:type="dxa"/>
            </w:tcMar>
            <w:vAlign w:val="center"/>
          </w:tcPr>
          <w:p w14:paraId="5386CA4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20</w:t>
            </w:r>
          </w:p>
        </w:tc>
        <w:tc>
          <w:tcPr>
            <w:tcW w:w="1011" w:type="pct"/>
            <w:vAlign w:val="center"/>
          </w:tcPr>
          <w:p w14:paraId="08B92C8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20</w:t>
            </w:r>
          </w:p>
        </w:tc>
      </w:tr>
      <w:tr w14:paraId="388F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129" w:type="pct"/>
            <w:vMerge w:val="restart"/>
            <w:shd w:val="clear" w:color="auto" w:fill="auto"/>
            <w:vAlign w:val="center"/>
          </w:tcPr>
          <w:p w14:paraId="55159FE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轧钢热处理炉</w:t>
            </w:r>
          </w:p>
        </w:tc>
        <w:tc>
          <w:tcPr>
            <w:tcW w:w="673" w:type="pct"/>
            <w:shd w:val="clear" w:color="auto" w:fill="auto"/>
            <w:tcMar>
              <w:top w:w="15" w:type="dxa"/>
              <w:left w:w="108" w:type="dxa"/>
              <w:bottom w:w="0" w:type="dxa"/>
              <w:right w:w="108" w:type="dxa"/>
            </w:tcMar>
            <w:vAlign w:val="center"/>
          </w:tcPr>
          <w:p w14:paraId="11E0FD1B">
            <w:pPr>
              <w:keepNext w:val="0"/>
              <w:keepLines w:val="0"/>
              <w:widowControl/>
              <w:suppressLineNumbers w:val="0"/>
              <w:spacing w:before="48" w:beforeAutospacing="0" w:after="48"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SO</w:t>
            </w:r>
            <w:r>
              <w:rPr>
                <w:rFonts w:hint="eastAsia" w:ascii="Times New Roman" w:hAnsi="Times New Roman" w:cs="Times New Roman"/>
                <w:color w:val="000000"/>
                <w:kern w:val="2"/>
                <w:sz w:val="22"/>
                <w:szCs w:val="20"/>
                <w:vertAlign w:val="subscript"/>
              </w:rPr>
              <w:t>2</w:t>
            </w:r>
          </w:p>
        </w:tc>
        <w:tc>
          <w:tcPr>
            <w:tcW w:w="1177" w:type="pct"/>
            <w:shd w:val="clear" w:color="auto" w:fill="auto"/>
            <w:tcMar>
              <w:top w:w="15" w:type="dxa"/>
              <w:left w:w="108" w:type="dxa"/>
              <w:bottom w:w="0" w:type="dxa"/>
              <w:right w:w="108" w:type="dxa"/>
            </w:tcMar>
            <w:vAlign w:val="center"/>
          </w:tcPr>
          <w:p w14:paraId="7221B4B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150</w:t>
            </w:r>
          </w:p>
        </w:tc>
        <w:tc>
          <w:tcPr>
            <w:tcW w:w="1010" w:type="pct"/>
            <w:shd w:val="clear" w:color="auto" w:fill="auto"/>
            <w:tcMar>
              <w:top w:w="15" w:type="dxa"/>
              <w:left w:w="108" w:type="dxa"/>
              <w:bottom w:w="0" w:type="dxa"/>
              <w:right w:w="108" w:type="dxa"/>
            </w:tcMar>
            <w:vAlign w:val="center"/>
          </w:tcPr>
          <w:p w14:paraId="014FAC5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≤350</w:t>
            </w:r>
          </w:p>
        </w:tc>
        <w:tc>
          <w:tcPr>
            <w:tcW w:w="1011" w:type="pct"/>
            <w:vAlign w:val="center"/>
          </w:tcPr>
          <w:p w14:paraId="2E67B10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r w14:paraId="54ED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129" w:type="pct"/>
            <w:vMerge w:val="continue"/>
            <w:shd w:val="clear" w:color="auto" w:fill="auto"/>
            <w:vAlign w:val="center"/>
          </w:tcPr>
          <w:p w14:paraId="3782768F">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p>
        </w:tc>
        <w:tc>
          <w:tcPr>
            <w:tcW w:w="673" w:type="pct"/>
            <w:shd w:val="clear" w:color="auto" w:fill="auto"/>
            <w:tcMar>
              <w:top w:w="15" w:type="dxa"/>
              <w:left w:w="108" w:type="dxa"/>
              <w:bottom w:w="0" w:type="dxa"/>
              <w:right w:w="108" w:type="dxa"/>
            </w:tcMar>
            <w:vAlign w:val="center"/>
          </w:tcPr>
          <w:p w14:paraId="64B774C1">
            <w:pPr>
              <w:keepNext w:val="0"/>
              <w:keepLines w:val="0"/>
              <w:widowControl w:val="0"/>
              <w:suppressLineNumbers w:val="0"/>
              <w:spacing w:before="48" w:beforeAutospacing="0" w:after="48"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NOx</w:t>
            </w:r>
          </w:p>
        </w:tc>
        <w:tc>
          <w:tcPr>
            <w:tcW w:w="1177" w:type="pct"/>
            <w:shd w:val="clear" w:color="auto" w:fill="auto"/>
            <w:tcMar>
              <w:top w:w="15" w:type="dxa"/>
              <w:left w:w="108" w:type="dxa"/>
              <w:bottom w:w="0" w:type="dxa"/>
              <w:right w:w="108" w:type="dxa"/>
            </w:tcMar>
            <w:vAlign w:val="center"/>
          </w:tcPr>
          <w:p w14:paraId="58FF2382">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300</w:t>
            </w:r>
          </w:p>
        </w:tc>
        <w:tc>
          <w:tcPr>
            <w:tcW w:w="1010" w:type="pct"/>
            <w:shd w:val="clear" w:color="auto" w:fill="auto"/>
            <w:tcMar>
              <w:top w:w="15" w:type="dxa"/>
              <w:left w:w="108" w:type="dxa"/>
              <w:bottom w:w="0" w:type="dxa"/>
              <w:right w:w="108" w:type="dxa"/>
            </w:tcMar>
            <w:vAlign w:val="center"/>
          </w:tcPr>
          <w:p w14:paraId="11643B84">
            <w:pPr>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kern w:val="2"/>
                <w:sz w:val="22"/>
                <w:szCs w:val="20"/>
              </w:rPr>
            </w:pPr>
            <w:r>
              <w:rPr>
                <w:rFonts w:hint="eastAsia" w:ascii="Times New Roman" w:hAnsi="Times New Roman" w:cs="Times New Roman"/>
                <w:color w:val="000000"/>
                <w:kern w:val="2"/>
                <w:sz w:val="22"/>
                <w:szCs w:val="20"/>
              </w:rPr>
              <w:t>≤350</w:t>
            </w:r>
          </w:p>
        </w:tc>
        <w:tc>
          <w:tcPr>
            <w:tcW w:w="1011" w:type="pct"/>
            <w:vAlign w:val="center"/>
          </w:tcPr>
          <w:p w14:paraId="75737A8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bookmarkEnd w:id="14"/>
    </w:tbl>
    <w:p w14:paraId="57AE5F36">
      <w:pPr>
        <w:pStyle w:val="13"/>
        <w:spacing w:line="360" w:lineRule="auto"/>
        <w:ind w:firstLine="480" w:firstLineChars="200"/>
        <w:rPr>
          <w:rFonts w:ascii="Times New Roman" w:hAnsi="Times New Roman"/>
        </w:rPr>
      </w:pPr>
      <w:bookmarkStart w:id="15" w:name="_Toc217058288"/>
      <w:r>
        <w:rPr>
          <w:rFonts w:ascii="Times New Roman" w:hAnsi="Times New Roman"/>
        </w:rPr>
        <w:t>（</w:t>
      </w:r>
      <w:r>
        <w:rPr>
          <w:rFonts w:hint="eastAsia" w:ascii="Times New Roman" w:hAnsi="Times New Roman"/>
        </w:rPr>
        <w:t>5</w:t>
      </w:r>
      <w:r>
        <w:rPr>
          <w:rFonts w:ascii="Times New Roman" w:hAnsi="Times New Roman"/>
        </w:rPr>
        <w:t>）</w:t>
      </w:r>
      <w:r>
        <w:rPr>
          <w:rFonts w:hint="eastAsia" w:ascii="Times New Roman" w:hAnsi="Times New Roman"/>
        </w:rPr>
        <w:t>焦化</w:t>
      </w:r>
    </w:p>
    <w:p w14:paraId="67B2631F">
      <w:pPr>
        <w:pStyle w:val="13"/>
        <w:spacing w:line="360" w:lineRule="auto"/>
        <w:ind w:firstLine="480" w:firstLineChars="200"/>
        <w:jc w:val="both"/>
        <w:rPr>
          <w:rFonts w:ascii="Times New Roman" w:hAnsi="Times New Roman"/>
        </w:rPr>
      </w:pPr>
      <w:r>
        <w:rPr>
          <w:rFonts w:ascii="Times New Roman" w:hAnsi="Times New Roman"/>
        </w:rPr>
        <w:t>我国</w:t>
      </w:r>
      <w:r>
        <w:rPr>
          <w:rFonts w:hint="eastAsia" w:ascii="Times New Roman" w:hAnsi="Times New Roman"/>
        </w:rPr>
        <w:t>炼焦化学</w:t>
      </w:r>
      <w:r>
        <w:rPr>
          <w:rFonts w:ascii="Times New Roman" w:hAnsi="Times New Roman"/>
        </w:rPr>
        <w:t>工业大气污染物排放标准</w:t>
      </w:r>
      <w:r>
        <w:rPr>
          <w:rFonts w:hint="eastAsia" w:ascii="Times New Roman" w:hAnsi="Times New Roman"/>
        </w:rPr>
        <w:t>中常规污染物（</w:t>
      </w:r>
      <w:r>
        <w:rPr>
          <w:rFonts w:ascii="Times New Roman" w:hAnsi="Times New Roman"/>
        </w:rPr>
        <w:t>颗粒物、SO</w:t>
      </w:r>
      <w:r>
        <w:rPr>
          <w:rFonts w:ascii="Times New Roman" w:hAnsi="Times New Roman"/>
          <w:vertAlign w:val="subscript"/>
        </w:rPr>
        <w:t>2</w:t>
      </w:r>
      <w:r>
        <w:rPr>
          <w:rFonts w:ascii="Times New Roman" w:hAnsi="Times New Roman"/>
        </w:rPr>
        <w:t>、NOx</w:t>
      </w:r>
      <w:r>
        <w:rPr>
          <w:rFonts w:hint="eastAsia" w:ascii="Times New Roman" w:hAnsi="Times New Roman"/>
        </w:rPr>
        <w:t>）</w:t>
      </w:r>
      <w:r>
        <w:rPr>
          <w:rFonts w:ascii="Times New Roman" w:hAnsi="Times New Roman"/>
        </w:rPr>
        <w:t>排放限值</w:t>
      </w:r>
      <w:r>
        <w:rPr>
          <w:rFonts w:hint="eastAsia" w:ascii="Times New Roman" w:hAnsi="Times New Roman"/>
        </w:rPr>
        <w:t>远低于</w:t>
      </w:r>
      <w:r>
        <w:rPr>
          <w:rFonts w:ascii="Times New Roman" w:hAnsi="Times New Roman"/>
        </w:rPr>
        <w:t>德国、日本</w:t>
      </w:r>
      <w:r>
        <w:rPr>
          <w:rFonts w:hint="eastAsia" w:ascii="Times New Roman" w:hAnsi="Times New Roman"/>
        </w:rPr>
        <w:t>、世界银行</w:t>
      </w:r>
      <w:r>
        <w:rPr>
          <w:rFonts w:ascii="Times New Roman" w:hAnsi="Times New Roman"/>
        </w:rPr>
        <w:t>排放标准限值，</w:t>
      </w:r>
      <w:r>
        <w:rPr>
          <w:rFonts w:hint="eastAsia" w:ascii="Times New Roman" w:hAnsi="Times New Roman"/>
        </w:rPr>
        <w:t>除焦炉烟囱非甲烷总烃排放限值较世界银行偏松外，其他特征污染物（VOC、氨、硫化氢）</w:t>
      </w:r>
      <w:r>
        <w:rPr>
          <w:rFonts w:ascii="Times New Roman" w:hAnsi="Times New Roman"/>
        </w:rPr>
        <w:t>排放限值</w:t>
      </w:r>
      <w:r>
        <w:rPr>
          <w:rFonts w:hint="eastAsia" w:ascii="Times New Roman" w:hAnsi="Times New Roman"/>
        </w:rPr>
        <w:t>远低于</w:t>
      </w:r>
      <w:r>
        <w:rPr>
          <w:rFonts w:ascii="Times New Roman" w:hAnsi="Times New Roman"/>
        </w:rPr>
        <w:t>日本</w:t>
      </w:r>
      <w:r>
        <w:rPr>
          <w:rFonts w:hint="eastAsia" w:ascii="Times New Roman" w:hAnsi="Times New Roman"/>
        </w:rPr>
        <w:t>、世界银行</w:t>
      </w:r>
      <w:r>
        <w:rPr>
          <w:rFonts w:ascii="Times New Roman" w:hAnsi="Times New Roman"/>
        </w:rPr>
        <w:t>排放标准限值</w:t>
      </w:r>
      <w:r>
        <w:rPr>
          <w:rFonts w:hint="eastAsia" w:ascii="Times New Roman" w:hAnsi="Times New Roman"/>
        </w:rPr>
        <w:t>。</w:t>
      </w:r>
      <w:r>
        <w:rPr>
          <w:rFonts w:ascii="Times New Roman" w:hAnsi="Times New Roman"/>
        </w:rPr>
        <w:t>详见表4-</w:t>
      </w:r>
      <w:r>
        <w:rPr>
          <w:rFonts w:hint="eastAsia" w:ascii="Times New Roman" w:hAnsi="Times New Roman"/>
        </w:rPr>
        <w:t>6</w:t>
      </w:r>
      <w:r>
        <w:rPr>
          <w:rFonts w:ascii="Times New Roman" w:hAnsi="Times New Roman"/>
        </w:rPr>
        <w:t>。</w:t>
      </w:r>
    </w:p>
    <w:p w14:paraId="549870F1">
      <w:pPr>
        <w:adjustRightInd w:val="0"/>
        <w:spacing w:line="360" w:lineRule="auto"/>
        <w:jc w:val="center"/>
        <w:textAlignment w:val="baseline"/>
        <w:rPr>
          <w:rFonts w:ascii="Times New Roman" w:hAnsi="Times New Roman" w:eastAsia="仿宋_GB2312" w:cs="Times New Roman"/>
          <w:b/>
        </w:rPr>
      </w:pPr>
      <w:r>
        <w:rPr>
          <w:rFonts w:ascii="Times New Roman" w:hAnsi="Times New Roman" w:cs="Times New Roman"/>
          <w:b/>
          <w:bCs/>
          <w:color w:val="000000"/>
          <w:szCs w:val="32"/>
        </w:rPr>
        <w:t>表4-</w:t>
      </w:r>
      <w:r>
        <w:rPr>
          <w:rFonts w:hint="eastAsia" w:ascii="Times New Roman" w:hAnsi="Times New Roman" w:cs="Times New Roman"/>
          <w:b/>
          <w:bCs/>
          <w:color w:val="000000"/>
          <w:szCs w:val="32"/>
        </w:rPr>
        <w:t>6</w:t>
      </w:r>
      <w:r>
        <w:rPr>
          <w:rFonts w:ascii="Times New Roman" w:hAnsi="Times New Roman" w:cs="Times New Roman"/>
          <w:b/>
          <w:bCs/>
          <w:color w:val="000000"/>
          <w:szCs w:val="32"/>
        </w:rPr>
        <w:t xml:space="preserve">  </w:t>
      </w:r>
      <w:r>
        <w:rPr>
          <w:rFonts w:hint="eastAsia" w:ascii="Times New Roman" w:hAnsi="Times New Roman" w:cs="Times New Roman"/>
          <w:b/>
          <w:bCs/>
          <w:color w:val="000000"/>
          <w:szCs w:val="32"/>
        </w:rPr>
        <w:t>焦化</w:t>
      </w:r>
      <w:r>
        <w:rPr>
          <w:rFonts w:ascii="Times New Roman" w:hAnsi="Times New Roman" w:cs="Times New Roman"/>
          <w:b/>
          <w:bCs/>
          <w:color w:val="000000"/>
          <w:szCs w:val="32"/>
        </w:rPr>
        <w:t>工序国外相关标准限值汇总表</w:t>
      </w:r>
      <w:r>
        <w:rPr>
          <w:rFonts w:ascii="Times New Roman" w:hAnsi="Times New Roman" w:eastAsia="仿宋_GB2312" w:cs="Times New Roman"/>
          <w:b/>
        </w:rPr>
        <w:t xml:space="preserve"> </w:t>
      </w:r>
    </w:p>
    <w:p w14:paraId="0781AF15">
      <w:pPr>
        <w:ind w:firstLine="440" w:firstLineChars="200"/>
        <w:jc w:val="right"/>
        <w:rPr>
          <w:rFonts w:ascii="Times New Roman" w:hAnsi="Times New Roman" w:cs="Times New Roman"/>
          <w:szCs w:val="21"/>
        </w:rPr>
      </w:pPr>
      <w:r>
        <w:rPr>
          <w:rFonts w:ascii="Times New Roman" w:hAnsi="Times New Roman" w:cs="Times New Roman"/>
          <w:sz w:val="22"/>
          <w:szCs w:val="20"/>
        </w:rPr>
        <w:t>单位：</w:t>
      </w:r>
      <w:r>
        <w:rPr>
          <w:rFonts w:ascii="Times New Roman" w:hAnsi="Times New Roman" w:cs="Times New Roman"/>
          <w:szCs w:val="21"/>
        </w:rPr>
        <w:t>mg/m</w:t>
      </w:r>
      <w:r>
        <w:rPr>
          <w:rFonts w:ascii="Times New Roman" w:hAnsi="Times New Roman" w:cs="Times New Roman"/>
          <w:szCs w:val="21"/>
          <w:vertAlign w:val="superscript"/>
        </w:rPr>
        <w:t>3</w:t>
      </w:r>
    </w:p>
    <w:tbl>
      <w:tblPr>
        <w:tblStyle w:val="27"/>
        <w:tblW w:w="84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1073"/>
        <w:gridCol w:w="869"/>
        <w:gridCol w:w="1260"/>
        <w:gridCol w:w="840"/>
        <w:gridCol w:w="1178"/>
        <w:gridCol w:w="808"/>
        <w:gridCol w:w="1014"/>
      </w:tblGrid>
      <w:tr w14:paraId="14CAC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446" w:type="dxa"/>
            <w:vMerge w:val="restart"/>
            <w:tcBorders>
              <w:tl2br w:val="nil"/>
              <w:tr2bl w:val="nil"/>
            </w:tcBorders>
            <w:shd w:val="clear" w:color="auto" w:fill="auto"/>
            <w:vAlign w:val="center"/>
          </w:tcPr>
          <w:p w14:paraId="3BB189D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污染源</w:t>
            </w:r>
          </w:p>
        </w:tc>
        <w:tc>
          <w:tcPr>
            <w:tcW w:w="1073" w:type="dxa"/>
            <w:vMerge w:val="restart"/>
            <w:tcBorders>
              <w:tl2br w:val="nil"/>
              <w:tr2bl w:val="nil"/>
            </w:tcBorders>
            <w:shd w:val="clear" w:color="auto" w:fill="auto"/>
            <w:vAlign w:val="center"/>
          </w:tcPr>
          <w:p w14:paraId="61DE6F3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污染物</w:t>
            </w:r>
          </w:p>
        </w:tc>
        <w:tc>
          <w:tcPr>
            <w:tcW w:w="869" w:type="dxa"/>
            <w:vMerge w:val="restart"/>
            <w:tcBorders>
              <w:tl2br w:val="nil"/>
              <w:tr2bl w:val="nil"/>
            </w:tcBorders>
            <w:shd w:val="clear" w:color="auto" w:fill="auto"/>
            <w:vAlign w:val="center"/>
          </w:tcPr>
          <w:p w14:paraId="3BF8713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GB16171.1-2024</w:t>
            </w:r>
          </w:p>
        </w:tc>
        <w:tc>
          <w:tcPr>
            <w:tcW w:w="5100" w:type="dxa"/>
            <w:gridSpan w:val="5"/>
            <w:tcBorders>
              <w:tl2br w:val="nil"/>
              <w:tr2bl w:val="nil"/>
            </w:tcBorders>
            <w:shd w:val="clear" w:color="auto" w:fill="auto"/>
            <w:noWrap/>
            <w:vAlign w:val="center"/>
          </w:tcPr>
          <w:p w14:paraId="2CE204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7"/>
                <w:rFonts w:hint="default"/>
                <w:sz w:val="21"/>
                <w:szCs w:val="21"/>
                <w:lang w:bidi="ar"/>
              </w:rPr>
              <w:t>国外排放限值</w:t>
            </w:r>
          </w:p>
        </w:tc>
      </w:tr>
      <w:tr w14:paraId="5D2A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46" w:type="dxa"/>
            <w:vMerge w:val="continue"/>
            <w:tcBorders>
              <w:tl2br w:val="nil"/>
              <w:tr2bl w:val="nil"/>
            </w:tcBorders>
            <w:shd w:val="clear" w:color="auto" w:fill="auto"/>
            <w:vAlign w:val="center"/>
          </w:tcPr>
          <w:p w14:paraId="75992D4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p>
        </w:tc>
        <w:tc>
          <w:tcPr>
            <w:tcW w:w="1073" w:type="dxa"/>
            <w:vMerge w:val="continue"/>
            <w:tcBorders>
              <w:tl2br w:val="nil"/>
              <w:tr2bl w:val="nil"/>
            </w:tcBorders>
            <w:shd w:val="clear" w:color="auto" w:fill="auto"/>
            <w:vAlign w:val="center"/>
          </w:tcPr>
          <w:p w14:paraId="3D05F96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p>
        </w:tc>
        <w:tc>
          <w:tcPr>
            <w:tcW w:w="869" w:type="dxa"/>
            <w:vMerge w:val="continue"/>
            <w:tcBorders>
              <w:tl2br w:val="nil"/>
              <w:tr2bl w:val="nil"/>
            </w:tcBorders>
            <w:shd w:val="clear" w:color="auto" w:fill="auto"/>
            <w:vAlign w:val="center"/>
          </w:tcPr>
          <w:p w14:paraId="574097C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p>
        </w:tc>
        <w:tc>
          <w:tcPr>
            <w:tcW w:w="1260" w:type="dxa"/>
            <w:tcBorders>
              <w:tl2br w:val="nil"/>
              <w:tr2bl w:val="nil"/>
            </w:tcBorders>
            <w:shd w:val="clear" w:color="auto" w:fill="auto"/>
            <w:noWrap/>
            <w:vAlign w:val="center"/>
          </w:tcPr>
          <w:p w14:paraId="2B7526E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7"/>
                <w:rFonts w:hint="default"/>
                <w:sz w:val="21"/>
                <w:szCs w:val="21"/>
                <w:lang w:bidi="ar"/>
              </w:rPr>
              <w:t>欧盟</w:t>
            </w:r>
          </w:p>
        </w:tc>
        <w:tc>
          <w:tcPr>
            <w:tcW w:w="840" w:type="dxa"/>
            <w:tcBorders>
              <w:tl2br w:val="nil"/>
              <w:tr2bl w:val="nil"/>
            </w:tcBorders>
            <w:shd w:val="clear" w:color="auto" w:fill="auto"/>
            <w:noWrap/>
            <w:vAlign w:val="center"/>
          </w:tcPr>
          <w:p w14:paraId="1035A3E5">
            <w:pPr>
              <w:keepNext w:val="0"/>
              <w:keepLines w:val="0"/>
              <w:widowControl/>
              <w:suppressLineNumbers w:val="0"/>
              <w:spacing w:before="0" w:beforeAutospacing="0" w:after="0" w:afterAutospacing="0"/>
              <w:ind w:left="0" w:right="0"/>
              <w:jc w:val="center"/>
              <w:textAlignment w:val="center"/>
              <w:rPr>
                <w:rFonts w:hint="eastAsia"/>
                <w:color w:val="000000"/>
                <w:sz w:val="21"/>
                <w:szCs w:val="21"/>
              </w:rPr>
            </w:pPr>
            <w:r>
              <w:rPr>
                <w:rFonts w:hint="eastAsia"/>
                <w:color w:val="000000"/>
                <w:sz w:val="21"/>
                <w:szCs w:val="21"/>
                <w:lang w:bidi="ar"/>
              </w:rPr>
              <w:t>德国</w:t>
            </w:r>
          </w:p>
        </w:tc>
        <w:tc>
          <w:tcPr>
            <w:tcW w:w="1178" w:type="dxa"/>
            <w:tcBorders>
              <w:tl2br w:val="nil"/>
              <w:tr2bl w:val="nil"/>
            </w:tcBorders>
            <w:shd w:val="clear" w:color="auto" w:fill="auto"/>
            <w:vAlign w:val="center"/>
          </w:tcPr>
          <w:p w14:paraId="322C937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日本</w:t>
            </w:r>
          </w:p>
        </w:tc>
        <w:tc>
          <w:tcPr>
            <w:tcW w:w="808" w:type="dxa"/>
            <w:tcBorders>
              <w:tl2br w:val="nil"/>
              <w:tr2bl w:val="nil"/>
            </w:tcBorders>
            <w:shd w:val="clear" w:color="auto" w:fill="auto"/>
            <w:vAlign w:val="center"/>
          </w:tcPr>
          <w:p w14:paraId="7F59DEA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印度</w:t>
            </w:r>
          </w:p>
        </w:tc>
        <w:tc>
          <w:tcPr>
            <w:tcW w:w="1014" w:type="dxa"/>
            <w:tcBorders>
              <w:tl2br w:val="nil"/>
              <w:tr2bl w:val="nil"/>
            </w:tcBorders>
            <w:shd w:val="clear" w:color="auto" w:fill="auto"/>
            <w:vAlign w:val="center"/>
          </w:tcPr>
          <w:p w14:paraId="34CB3EC1">
            <w:pPr>
              <w:keepNext w:val="0"/>
              <w:keepLines w:val="0"/>
              <w:widowControl/>
              <w:suppressLineNumbers w:val="0"/>
              <w:spacing w:before="0" w:beforeAutospacing="0" w:after="0" w:afterAutospacing="0"/>
              <w:ind w:left="0" w:right="-84" w:rightChars="-35"/>
              <w:jc w:val="center"/>
              <w:textAlignment w:val="center"/>
              <w:rPr>
                <w:rFonts w:hint="eastAsia" w:ascii="Times New Roman" w:hAnsi="Times New Roman" w:cs="Times New Roman"/>
                <w:color w:val="000000"/>
                <w:sz w:val="21"/>
                <w:szCs w:val="21"/>
              </w:rPr>
            </w:pPr>
            <w:r>
              <w:rPr>
                <w:rStyle w:val="126"/>
                <w:rFonts w:hint="default"/>
                <w:sz w:val="21"/>
                <w:szCs w:val="21"/>
                <w:lang w:bidi="ar"/>
              </w:rPr>
              <w:t>世界银行</w:t>
            </w:r>
          </w:p>
        </w:tc>
      </w:tr>
      <w:tr w14:paraId="48C5D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1446" w:type="dxa"/>
            <w:tcBorders>
              <w:tl2br w:val="nil"/>
              <w:tr2bl w:val="nil"/>
            </w:tcBorders>
            <w:shd w:val="clear" w:color="auto" w:fill="auto"/>
            <w:vAlign w:val="center"/>
          </w:tcPr>
          <w:p w14:paraId="0AE396D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精煤破碎、焦炭破碎、筛分转运</w:t>
            </w:r>
          </w:p>
        </w:tc>
        <w:tc>
          <w:tcPr>
            <w:tcW w:w="1073" w:type="dxa"/>
            <w:tcBorders>
              <w:tl2br w:val="nil"/>
              <w:tr2bl w:val="nil"/>
            </w:tcBorders>
            <w:shd w:val="clear" w:color="auto" w:fill="auto"/>
            <w:vAlign w:val="center"/>
          </w:tcPr>
          <w:p w14:paraId="306878C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颗粒物</w:t>
            </w:r>
          </w:p>
        </w:tc>
        <w:tc>
          <w:tcPr>
            <w:tcW w:w="869" w:type="dxa"/>
            <w:tcBorders>
              <w:tl2br w:val="nil"/>
              <w:tr2bl w:val="nil"/>
            </w:tcBorders>
            <w:shd w:val="clear" w:color="auto" w:fill="auto"/>
            <w:vAlign w:val="center"/>
          </w:tcPr>
          <w:p w14:paraId="483843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15</w:t>
            </w:r>
          </w:p>
        </w:tc>
        <w:tc>
          <w:tcPr>
            <w:tcW w:w="1260" w:type="dxa"/>
            <w:tcBorders>
              <w:tl2br w:val="nil"/>
              <w:tr2bl w:val="nil"/>
            </w:tcBorders>
            <w:shd w:val="clear" w:color="auto" w:fill="auto"/>
            <w:vAlign w:val="center"/>
          </w:tcPr>
          <w:p w14:paraId="00DD7CE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≤10-20</w:t>
            </w:r>
          </w:p>
        </w:tc>
        <w:tc>
          <w:tcPr>
            <w:tcW w:w="840" w:type="dxa"/>
            <w:tcBorders>
              <w:tl2br w:val="nil"/>
              <w:tr2bl w:val="nil"/>
            </w:tcBorders>
            <w:shd w:val="clear" w:color="auto" w:fill="auto"/>
            <w:vAlign w:val="center"/>
          </w:tcPr>
          <w:p w14:paraId="2D875A0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178" w:type="dxa"/>
            <w:tcBorders>
              <w:tl2br w:val="nil"/>
              <w:tr2bl w:val="nil"/>
            </w:tcBorders>
            <w:shd w:val="clear" w:color="auto" w:fill="auto"/>
            <w:vAlign w:val="center"/>
          </w:tcPr>
          <w:p w14:paraId="3638D99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30-200</w:t>
            </w:r>
          </w:p>
        </w:tc>
        <w:tc>
          <w:tcPr>
            <w:tcW w:w="808" w:type="dxa"/>
            <w:tcBorders>
              <w:tl2br w:val="nil"/>
              <w:tr2bl w:val="nil"/>
            </w:tcBorders>
            <w:shd w:val="clear" w:color="auto" w:fill="auto"/>
            <w:vAlign w:val="center"/>
          </w:tcPr>
          <w:p w14:paraId="3392B54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50</w:t>
            </w:r>
          </w:p>
        </w:tc>
        <w:tc>
          <w:tcPr>
            <w:tcW w:w="1014" w:type="dxa"/>
            <w:tcBorders>
              <w:tl2br w:val="nil"/>
              <w:tr2bl w:val="nil"/>
            </w:tcBorders>
            <w:shd w:val="clear" w:color="auto" w:fill="auto"/>
            <w:vAlign w:val="center"/>
          </w:tcPr>
          <w:p w14:paraId="2C5C20E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r>
      <w:tr w14:paraId="3621E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jc w:val="center"/>
        </w:trPr>
        <w:tc>
          <w:tcPr>
            <w:tcW w:w="1446" w:type="dxa"/>
            <w:tcBorders>
              <w:tl2br w:val="nil"/>
              <w:tr2bl w:val="nil"/>
            </w:tcBorders>
            <w:shd w:val="clear" w:color="auto" w:fill="auto"/>
            <w:vAlign w:val="center"/>
          </w:tcPr>
          <w:p w14:paraId="0FCA19A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装煤过程</w:t>
            </w:r>
          </w:p>
        </w:tc>
        <w:tc>
          <w:tcPr>
            <w:tcW w:w="1073" w:type="dxa"/>
            <w:tcBorders>
              <w:tl2br w:val="nil"/>
              <w:tr2bl w:val="nil"/>
            </w:tcBorders>
            <w:shd w:val="clear" w:color="auto" w:fill="auto"/>
            <w:vAlign w:val="center"/>
          </w:tcPr>
          <w:p w14:paraId="0C0A1E7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颗粒物</w:t>
            </w:r>
          </w:p>
        </w:tc>
        <w:tc>
          <w:tcPr>
            <w:tcW w:w="869" w:type="dxa"/>
            <w:tcBorders>
              <w:tl2br w:val="nil"/>
              <w:tr2bl w:val="nil"/>
            </w:tcBorders>
            <w:shd w:val="clear" w:color="auto" w:fill="auto"/>
            <w:vAlign w:val="center"/>
          </w:tcPr>
          <w:p w14:paraId="413A0B7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30</w:t>
            </w:r>
          </w:p>
        </w:tc>
        <w:tc>
          <w:tcPr>
            <w:tcW w:w="1260" w:type="dxa"/>
            <w:tcBorders>
              <w:tl2br w:val="nil"/>
              <w:tr2bl w:val="nil"/>
            </w:tcBorders>
            <w:shd w:val="clear" w:color="auto" w:fill="auto"/>
            <w:vAlign w:val="center"/>
          </w:tcPr>
          <w:p w14:paraId="061FC2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25</w:t>
            </w:r>
          </w:p>
        </w:tc>
        <w:tc>
          <w:tcPr>
            <w:tcW w:w="840" w:type="dxa"/>
            <w:tcBorders>
              <w:tl2br w:val="nil"/>
              <w:tr2bl w:val="nil"/>
            </w:tcBorders>
            <w:shd w:val="clear" w:color="auto" w:fill="auto"/>
            <w:vAlign w:val="center"/>
          </w:tcPr>
          <w:p w14:paraId="21836E9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10</w:t>
            </w:r>
          </w:p>
        </w:tc>
        <w:tc>
          <w:tcPr>
            <w:tcW w:w="1178" w:type="dxa"/>
            <w:tcBorders>
              <w:tl2br w:val="nil"/>
              <w:tr2bl w:val="nil"/>
            </w:tcBorders>
            <w:shd w:val="clear" w:color="auto" w:fill="auto"/>
            <w:vAlign w:val="center"/>
          </w:tcPr>
          <w:p w14:paraId="7938B5E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08" w:type="dxa"/>
            <w:tcBorders>
              <w:tl2br w:val="nil"/>
              <w:tr2bl w:val="nil"/>
            </w:tcBorders>
            <w:shd w:val="clear" w:color="auto" w:fill="auto"/>
            <w:vAlign w:val="center"/>
          </w:tcPr>
          <w:p w14:paraId="5AEEC00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25</w:t>
            </w:r>
          </w:p>
        </w:tc>
        <w:tc>
          <w:tcPr>
            <w:tcW w:w="1014" w:type="dxa"/>
            <w:tcBorders>
              <w:tl2br w:val="nil"/>
              <w:tr2bl w:val="nil"/>
            </w:tcBorders>
            <w:shd w:val="clear" w:color="auto" w:fill="auto"/>
            <w:vAlign w:val="center"/>
          </w:tcPr>
          <w:p w14:paraId="63F1D5C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r>
      <w:tr w14:paraId="2F2A4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446" w:type="dxa"/>
            <w:tcBorders>
              <w:tl2br w:val="nil"/>
              <w:tr2bl w:val="nil"/>
            </w:tcBorders>
            <w:shd w:val="clear" w:color="auto" w:fill="auto"/>
            <w:vAlign w:val="center"/>
          </w:tcPr>
          <w:p w14:paraId="1A740FA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推焦过程</w:t>
            </w:r>
          </w:p>
        </w:tc>
        <w:tc>
          <w:tcPr>
            <w:tcW w:w="1073" w:type="dxa"/>
            <w:tcBorders>
              <w:tl2br w:val="nil"/>
              <w:tr2bl w:val="nil"/>
            </w:tcBorders>
            <w:shd w:val="clear" w:color="auto" w:fill="auto"/>
            <w:vAlign w:val="center"/>
          </w:tcPr>
          <w:p w14:paraId="39B8A78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颗粒物</w:t>
            </w:r>
          </w:p>
        </w:tc>
        <w:tc>
          <w:tcPr>
            <w:tcW w:w="869" w:type="dxa"/>
            <w:tcBorders>
              <w:tl2br w:val="nil"/>
              <w:tr2bl w:val="nil"/>
            </w:tcBorders>
            <w:shd w:val="clear" w:color="auto" w:fill="auto"/>
            <w:vAlign w:val="center"/>
          </w:tcPr>
          <w:p w14:paraId="29AF12C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30</w:t>
            </w:r>
          </w:p>
        </w:tc>
        <w:tc>
          <w:tcPr>
            <w:tcW w:w="1260" w:type="dxa"/>
            <w:tcBorders>
              <w:tl2br w:val="nil"/>
              <w:tr2bl w:val="nil"/>
            </w:tcBorders>
            <w:shd w:val="clear" w:color="auto" w:fill="auto"/>
            <w:vAlign w:val="center"/>
          </w:tcPr>
          <w:p w14:paraId="6E3C53D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20</w:t>
            </w:r>
          </w:p>
        </w:tc>
        <w:tc>
          <w:tcPr>
            <w:tcW w:w="840" w:type="dxa"/>
            <w:tcBorders>
              <w:tl2br w:val="nil"/>
              <w:tr2bl w:val="nil"/>
            </w:tcBorders>
            <w:shd w:val="clear" w:color="auto" w:fill="auto"/>
            <w:vAlign w:val="center"/>
          </w:tcPr>
          <w:p w14:paraId="2AF7989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w:t>
            </w:r>
          </w:p>
        </w:tc>
        <w:tc>
          <w:tcPr>
            <w:tcW w:w="1178" w:type="dxa"/>
            <w:tcBorders>
              <w:tl2br w:val="nil"/>
              <w:tr2bl w:val="nil"/>
            </w:tcBorders>
            <w:shd w:val="clear" w:color="auto" w:fill="auto"/>
            <w:vAlign w:val="center"/>
          </w:tcPr>
          <w:p w14:paraId="2DF1280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08" w:type="dxa"/>
            <w:tcBorders>
              <w:tl2br w:val="nil"/>
              <w:tr2bl w:val="nil"/>
            </w:tcBorders>
            <w:shd w:val="clear" w:color="auto" w:fill="auto"/>
            <w:vAlign w:val="center"/>
          </w:tcPr>
          <w:p w14:paraId="3946EAE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014" w:type="dxa"/>
            <w:tcBorders>
              <w:tl2br w:val="nil"/>
              <w:tr2bl w:val="nil"/>
            </w:tcBorders>
            <w:shd w:val="clear" w:color="auto" w:fill="auto"/>
            <w:vAlign w:val="center"/>
          </w:tcPr>
          <w:p w14:paraId="7D577DE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r>
      <w:tr w14:paraId="4D06C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446" w:type="dxa"/>
            <w:vMerge w:val="restart"/>
            <w:tcBorders>
              <w:tl2br w:val="nil"/>
              <w:tr2bl w:val="nil"/>
            </w:tcBorders>
            <w:shd w:val="clear" w:color="auto" w:fill="auto"/>
            <w:vAlign w:val="center"/>
          </w:tcPr>
          <w:p w14:paraId="315CD49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焦炉烟囱废气</w:t>
            </w:r>
          </w:p>
        </w:tc>
        <w:tc>
          <w:tcPr>
            <w:tcW w:w="1073" w:type="dxa"/>
            <w:tcBorders>
              <w:tl2br w:val="nil"/>
              <w:tr2bl w:val="nil"/>
            </w:tcBorders>
            <w:shd w:val="clear" w:color="auto" w:fill="auto"/>
            <w:vAlign w:val="center"/>
          </w:tcPr>
          <w:p w14:paraId="0E7B75F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颗粒物</w:t>
            </w:r>
          </w:p>
        </w:tc>
        <w:tc>
          <w:tcPr>
            <w:tcW w:w="869" w:type="dxa"/>
            <w:tcBorders>
              <w:tl2br w:val="nil"/>
              <w:tr2bl w:val="nil"/>
            </w:tcBorders>
            <w:shd w:val="clear" w:color="auto" w:fill="auto"/>
            <w:vAlign w:val="center"/>
          </w:tcPr>
          <w:p w14:paraId="516B664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15</w:t>
            </w:r>
          </w:p>
        </w:tc>
        <w:tc>
          <w:tcPr>
            <w:tcW w:w="1260" w:type="dxa"/>
            <w:tcBorders>
              <w:tl2br w:val="nil"/>
              <w:tr2bl w:val="nil"/>
            </w:tcBorders>
            <w:shd w:val="clear" w:color="auto" w:fill="auto"/>
            <w:vAlign w:val="center"/>
          </w:tcPr>
          <w:p w14:paraId="208B60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&lt;1-20</w:t>
            </w:r>
          </w:p>
        </w:tc>
        <w:tc>
          <w:tcPr>
            <w:tcW w:w="840" w:type="dxa"/>
            <w:tcBorders>
              <w:tl2br w:val="nil"/>
              <w:tr2bl w:val="nil"/>
            </w:tcBorders>
            <w:shd w:val="clear" w:color="auto" w:fill="auto"/>
            <w:vAlign w:val="center"/>
          </w:tcPr>
          <w:p w14:paraId="470941E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10</w:t>
            </w:r>
          </w:p>
        </w:tc>
        <w:tc>
          <w:tcPr>
            <w:tcW w:w="1178" w:type="dxa"/>
            <w:tcBorders>
              <w:tl2br w:val="nil"/>
              <w:tr2bl w:val="nil"/>
            </w:tcBorders>
            <w:shd w:val="clear" w:color="auto" w:fill="auto"/>
            <w:vAlign w:val="center"/>
          </w:tcPr>
          <w:p w14:paraId="4AE754F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08" w:type="dxa"/>
            <w:tcBorders>
              <w:tl2br w:val="nil"/>
              <w:tr2bl w:val="nil"/>
            </w:tcBorders>
            <w:shd w:val="clear" w:color="auto" w:fill="auto"/>
            <w:vAlign w:val="center"/>
          </w:tcPr>
          <w:p w14:paraId="76E673A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50</w:t>
            </w:r>
          </w:p>
        </w:tc>
        <w:tc>
          <w:tcPr>
            <w:tcW w:w="1014" w:type="dxa"/>
            <w:tcBorders>
              <w:tl2br w:val="nil"/>
              <w:tr2bl w:val="nil"/>
            </w:tcBorders>
            <w:shd w:val="clear" w:color="auto" w:fill="auto"/>
            <w:vAlign w:val="center"/>
          </w:tcPr>
          <w:p w14:paraId="63072B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20-50</w:t>
            </w:r>
          </w:p>
        </w:tc>
      </w:tr>
      <w:tr w14:paraId="2057E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1446" w:type="dxa"/>
            <w:vMerge w:val="continue"/>
            <w:tcBorders>
              <w:tl2br w:val="nil"/>
              <w:tr2bl w:val="nil"/>
            </w:tcBorders>
            <w:shd w:val="clear" w:color="auto" w:fill="auto"/>
            <w:vAlign w:val="center"/>
          </w:tcPr>
          <w:p w14:paraId="08D8104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p>
        </w:tc>
        <w:tc>
          <w:tcPr>
            <w:tcW w:w="1073" w:type="dxa"/>
            <w:tcBorders>
              <w:tl2br w:val="nil"/>
              <w:tr2bl w:val="nil"/>
            </w:tcBorders>
            <w:shd w:val="clear" w:color="auto" w:fill="auto"/>
            <w:vAlign w:val="center"/>
          </w:tcPr>
          <w:p w14:paraId="75268DF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SO</w:t>
            </w:r>
            <w:r>
              <w:rPr>
                <w:rStyle w:val="128"/>
                <w:sz w:val="21"/>
                <w:szCs w:val="21"/>
                <w:lang w:bidi="ar"/>
              </w:rPr>
              <w:t>2</w:t>
            </w:r>
          </w:p>
        </w:tc>
        <w:tc>
          <w:tcPr>
            <w:tcW w:w="869" w:type="dxa"/>
            <w:tcBorders>
              <w:tl2br w:val="nil"/>
              <w:tr2bl w:val="nil"/>
            </w:tcBorders>
            <w:shd w:val="clear" w:color="auto" w:fill="auto"/>
            <w:vAlign w:val="center"/>
          </w:tcPr>
          <w:p w14:paraId="5D07B06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30</w:t>
            </w:r>
          </w:p>
        </w:tc>
        <w:tc>
          <w:tcPr>
            <w:tcW w:w="1260" w:type="dxa"/>
            <w:tcBorders>
              <w:tl2br w:val="nil"/>
              <w:tr2bl w:val="nil"/>
            </w:tcBorders>
            <w:shd w:val="clear" w:color="auto" w:fill="auto"/>
            <w:vAlign w:val="center"/>
          </w:tcPr>
          <w:p w14:paraId="1BDF732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&lt;200-500</w:t>
            </w:r>
            <w:r>
              <w:rPr>
                <w:rFonts w:hint="eastAsia" w:ascii="Calibri" w:hAnsi="Calibri" w:cs="Calibri"/>
                <w:color w:val="000000"/>
                <w:sz w:val="21"/>
                <w:szCs w:val="21"/>
                <w:vertAlign w:val="superscript"/>
                <w:lang w:bidi="ar"/>
              </w:rPr>
              <w:t>①</w:t>
            </w:r>
          </w:p>
        </w:tc>
        <w:tc>
          <w:tcPr>
            <w:tcW w:w="840" w:type="dxa"/>
            <w:tcBorders>
              <w:tl2br w:val="nil"/>
              <w:tr2bl w:val="nil"/>
            </w:tcBorders>
            <w:shd w:val="clear" w:color="auto" w:fill="auto"/>
            <w:vAlign w:val="center"/>
          </w:tcPr>
          <w:p w14:paraId="6B7D2DB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800</w:t>
            </w:r>
          </w:p>
        </w:tc>
        <w:tc>
          <w:tcPr>
            <w:tcW w:w="1178" w:type="dxa"/>
            <w:tcBorders>
              <w:tl2br w:val="nil"/>
              <w:tr2bl w:val="nil"/>
            </w:tcBorders>
            <w:shd w:val="clear" w:color="auto" w:fill="auto"/>
            <w:vAlign w:val="center"/>
          </w:tcPr>
          <w:p w14:paraId="249EA89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08" w:type="dxa"/>
            <w:tcBorders>
              <w:tl2br w:val="nil"/>
              <w:tr2bl w:val="nil"/>
            </w:tcBorders>
            <w:shd w:val="clear" w:color="auto" w:fill="auto"/>
            <w:vAlign w:val="center"/>
          </w:tcPr>
          <w:p w14:paraId="1A884E8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800</w:t>
            </w:r>
          </w:p>
        </w:tc>
        <w:tc>
          <w:tcPr>
            <w:tcW w:w="1014" w:type="dxa"/>
            <w:tcBorders>
              <w:tl2br w:val="nil"/>
              <w:tr2bl w:val="nil"/>
            </w:tcBorders>
            <w:shd w:val="clear" w:color="auto" w:fill="auto"/>
            <w:vAlign w:val="center"/>
          </w:tcPr>
          <w:p w14:paraId="024639C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500</w:t>
            </w:r>
          </w:p>
        </w:tc>
      </w:tr>
      <w:tr w14:paraId="2DD8C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1446" w:type="dxa"/>
            <w:vMerge w:val="continue"/>
            <w:tcBorders>
              <w:tl2br w:val="nil"/>
              <w:tr2bl w:val="nil"/>
            </w:tcBorders>
            <w:shd w:val="clear" w:color="auto" w:fill="auto"/>
            <w:vAlign w:val="center"/>
          </w:tcPr>
          <w:p w14:paraId="6C97643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p>
        </w:tc>
        <w:tc>
          <w:tcPr>
            <w:tcW w:w="1073" w:type="dxa"/>
            <w:tcBorders>
              <w:tl2br w:val="nil"/>
              <w:tr2bl w:val="nil"/>
            </w:tcBorders>
            <w:shd w:val="clear" w:color="auto" w:fill="auto"/>
            <w:vAlign w:val="center"/>
          </w:tcPr>
          <w:p w14:paraId="2C81846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氮氧化物</w:t>
            </w:r>
          </w:p>
        </w:tc>
        <w:tc>
          <w:tcPr>
            <w:tcW w:w="869" w:type="dxa"/>
            <w:tcBorders>
              <w:tl2br w:val="nil"/>
              <w:tr2bl w:val="nil"/>
            </w:tcBorders>
            <w:shd w:val="clear" w:color="auto" w:fill="auto"/>
            <w:vAlign w:val="center"/>
          </w:tcPr>
          <w:p w14:paraId="0E20B8E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150</w:t>
            </w:r>
          </w:p>
        </w:tc>
        <w:tc>
          <w:tcPr>
            <w:tcW w:w="1260" w:type="dxa"/>
            <w:tcBorders>
              <w:tl2br w:val="nil"/>
              <w:tr2bl w:val="nil"/>
            </w:tcBorders>
            <w:shd w:val="clear" w:color="auto" w:fill="auto"/>
            <w:noWrap/>
            <w:vAlign w:val="center"/>
          </w:tcPr>
          <w:p w14:paraId="320997B1">
            <w:pPr>
              <w:keepNext w:val="0"/>
              <w:keepLines w:val="0"/>
              <w:widowControl/>
              <w:suppressLineNumbers w:val="0"/>
              <w:spacing w:before="0" w:beforeAutospacing="0" w:after="0" w:afterAutospacing="0"/>
              <w:ind w:left="0" w:right="0"/>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&lt;350-500</w:t>
            </w:r>
            <w:r>
              <w:rPr>
                <w:rFonts w:hint="eastAsia" w:ascii="Times New Roman" w:hAnsi="Times New Roman" w:cs="Times New Roman"/>
                <w:color w:val="000000"/>
                <w:sz w:val="21"/>
                <w:szCs w:val="21"/>
                <w:vertAlign w:val="superscript"/>
                <w:lang w:bidi="ar"/>
              </w:rPr>
              <w:t>①</w:t>
            </w:r>
          </w:p>
        </w:tc>
        <w:tc>
          <w:tcPr>
            <w:tcW w:w="840" w:type="dxa"/>
            <w:tcBorders>
              <w:tl2br w:val="nil"/>
              <w:tr2bl w:val="nil"/>
            </w:tcBorders>
            <w:shd w:val="clear" w:color="auto" w:fill="auto"/>
            <w:noWrap/>
            <w:vAlign w:val="center"/>
          </w:tcPr>
          <w:p w14:paraId="64250F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500</w:t>
            </w:r>
          </w:p>
        </w:tc>
        <w:tc>
          <w:tcPr>
            <w:tcW w:w="1178" w:type="dxa"/>
            <w:tcBorders>
              <w:tl2br w:val="nil"/>
              <w:tr2bl w:val="nil"/>
            </w:tcBorders>
            <w:shd w:val="clear" w:color="auto" w:fill="auto"/>
            <w:vAlign w:val="center"/>
          </w:tcPr>
          <w:p w14:paraId="5B82729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123~820</w:t>
            </w:r>
          </w:p>
        </w:tc>
        <w:tc>
          <w:tcPr>
            <w:tcW w:w="808" w:type="dxa"/>
            <w:tcBorders>
              <w:tl2br w:val="nil"/>
              <w:tr2bl w:val="nil"/>
            </w:tcBorders>
            <w:shd w:val="clear" w:color="auto" w:fill="auto"/>
            <w:vAlign w:val="center"/>
          </w:tcPr>
          <w:p w14:paraId="7BA9734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500</w:t>
            </w:r>
          </w:p>
        </w:tc>
        <w:tc>
          <w:tcPr>
            <w:tcW w:w="1014" w:type="dxa"/>
            <w:tcBorders>
              <w:tl2br w:val="nil"/>
              <w:tr2bl w:val="nil"/>
            </w:tcBorders>
            <w:shd w:val="clear" w:color="auto" w:fill="auto"/>
            <w:vAlign w:val="center"/>
          </w:tcPr>
          <w:p w14:paraId="28C729C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750</w:t>
            </w:r>
          </w:p>
        </w:tc>
      </w:tr>
      <w:tr w14:paraId="64458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2" w:hRule="atLeast"/>
          <w:jc w:val="center"/>
        </w:trPr>
        <w:tc>
          <w:tcPr>
            <w:tcW w:w="1446" w:type="dxa"/>
            <w:vMerge w:val="continue"/>
            <w:tcBorders>
              <w:tl2br w:val="nil"/>
              <w:tr2bl w:val="nil"/>
            </w:tcBorders>
            <w:shd w:val="clear" w:color="auto" w:fill="auto"/>
            <w:vAlign w:val="center"/>
          </w:tcPr>
          <w:p w14:paraId="7E5D49E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p>
        </w:tc>
        <w:tc>
          <w:tcPr>
            <w:tcW w:w="1073" w:type="dxa"/>
            <w:tcBorders>
              <w:tl2br w:val="nil"/>
              <w:tr2bl w:val="nil"/>
            </w:tcBorders>
            <w:shd w:val="clear" w:color="auto" w:fill="auto"/>
            <w:vAlign w:val="center"/>
          </w:tcPr>
          <w:p w14:paraId="5964AF4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VOCs</w:t>
            </w:r>
            <w:r>
              <w:rPr>
                <w:rFonts w:hint="eastAsia" w:ascii="微软雅黑" w:hAnsi="微软雅黑" w:eastAsia="微软雅黑" w:cs="微软雅黑"/>
                <w:color w:val="000000"/>
                <w:sz w:val="21"/>
                <w:szCs w:val="21"/>
                <w:vertAlign w:val="superscript"/>
                <w:lang w:bidi="ar"/>
              </w:rPr>
              <w:t>②</w:t>
            </w:r>
          </w:p>
        </w:tc>
        <w:tc>
          <w:tcPr>
            <w:tcW w:w="869" w:type="dxa"/>
            <w:tcBorders>
              <w:tl2br w:val="nil"/>
              <w:tr2bl w:val="nil"/>
            </w:tcBorders>
            <w:shd w:val="clear" w:color="auto" w:fill="auto"/>
            <w:vAlign w:val="center"/>
          </w:tcPr>
          <w:p w14:paraId="7103D50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100</w:t>
            </w:r>
          </w:p>
        </w:tc>
        <w:tc>
          <w:tcPr>
            <w:tcW w:w="1260" w:type="dxa"/>
            <w:tcBorders>
              <w:tl2br w:val="nil"/>
              <w:tr2bl w:val="nil"/>
            </w:tcBorders>
            <w:shd w:val="clear" w:color="auto" w:fill="auto"/>
            <w:vAlign w:val="center"/>
          </w:tcPr>
          <w:p w14:paraId="5DDE75A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40" w:type="dxa"/>
            <w:tcBorders>
              <w:tl2br w:val="nil"/>
              <w:tr2bl w:val="nil"/>
            </w:tcBorders>
            <w:shd w:val="clear" w:color="auto" w:fill="auto"/>
            <w:vAlign w:val="center"/>
          </w:tcPr>
          <w:p w14:paraId="41FEEBC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178" w:type="dxa"/>
            <w:tcBorders>
              <w:tl2br w:val="nil"/>
              <w:tr2bl w:val="nil"/>
            </w:tcBorders>
            <w:shd w:val="clear" w:color="auto" w:fill="auto"/>
            <w:vAlign w:val="center"/>
          </w:tcPr>
          <w:p w14:paraId="3C5E29E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08" w:type="dxa"/>
            <w:tcBorders>
              <w:tl2br w:val="nil"/>
              <w:tr2bl w:val="nil"/>
            </w:tcBorders>
            <w:shd w:val="clear" w:color="auto" w:fill="auto"/>
            <w:vAlign w:val="center"/>
          </w:tcPr>
          <w:p w14:paraId="7AF1A8B9">
            <w:pPr>
              <w:keepNext w:val="0"/>
              <w:keepLines w:val="0"/>
              <w:widowControl/>
              <w:suppressLineNumbers w:val="0"/>
              <w:spacing w:before="0" w:beforeAutospacing="0" w:after="0" w:afterAutospacing="0"/>
              <w:ind w:left="0" w:right="0"/>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014" w:type="dxa"/>
            <w:tcBorders>
              <w:tl2br w:val="nil"/>
              <w:tr2bl w:val="nil"/>
            </w:tcBorders>
            <w:shd w:val="clear" w:color="auto" w:fill="auto"/>
            <w:vAlign w:val="center"/>
          </w:tcPr>
          <w:p w14:paraId="587A3CB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20</w:t>
            </w:r>
          </w:p>
        </w:tc>
      </w:tr>
      <w:tr w14:paraId="1C498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446" w:type="dxa"/>
            <w:tcBorders>
              <w:tl2br w:val="nil"/>
              <w:tr2bl w:val="nil"/>
            </w:tcBorders>
            <w:shd w:val="clear" w:color="auto" w:fill="auto"/>
            <w:vAlign w:val="center"/>
          </w:tcPr>
          <w:p w14:paraId="7F1DBD4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干法熄焦</w:t>
            </w:r>
          </w:p>
        </w:tc>
        <w:tc>
          <w:tcPr>
            <w:tcW w:w="1073" w:type="dxa"/>
            <w:tcBorders>
              <w:tl2br w:val="nil"/>
              <w:tr2bl w:val="nil"/>
            </w:tcBorders>
            <w:shd w:val="clear" w:color="auto" w:fill="auto"/>
            <w:vAlign w:val="center"/>
          </w:tcPr>
          <w:p w14:paraId="4844A05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颗粒物</w:t>
            </w:r>
          </w:p>
        </w:tc>
        <w:tc>
          <w:tcPr>
            <w:tcW w:w="869" w:type="dxa"/>
            <w:tcBorders>
              <w:tl2br w:val="nil"/>
              <w:tr2bl w:val="nil"/>
            </w:tcBorders>
            <w:shd w:val="clear" w:color="auto" w:fill="auto"/>
            <w:vAlign w:val="center"/>
          </w:tcPr>
          <w:p w14:paraId="46C306D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30</w:t>
            </w:r>
          </w:p>
        </w:tc>
        <w:tc>
          <w:tcPr>
            <w:tcW w:w="1260" w:type="dxa"/>
            <w:tcBorders>
              <w:tl2br w:val="nil"/>
              <w:tr2bl w:val="nil"/>
            </w:tcBorders>
            <w:shd w:val="clear" w:color="auto" w:fill="auto"/>
            <w:noWrap/>
            <w:vAlign w:val="center"/>
          </w:tcPr>
          <w:p w14:paraId="708E0A6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&lt;20</w:t>
            </w:r>
          </w:p>
        </w:tc>
        <w:tc>
          <w:tcPr>
            <w:tcW w:w="840" w:type="dxa"/>
            <w:tcBorders>
              <w:tl2br w:val="nil"/>
              <w:tr2bl w:val="nil"/>
            </w:tcBorders>
            <w:shd w:val="clear" w:color="auto" w:fill="auto"/>
            <w:noWrap/>
            <w:vAlign w:val="center"/>
          </w:tcPr>
          <w:p w14:paraId="091C92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15</w:t>
            </w:r>
          </w:p>
        </w:tc>
        <w:tc>
          <w:tcPr>
            <w:tcW w:w="1178" w:type="dxa"/>
            <w:tcBorders>
              <w:tl2br w:val="nil"/>
              <w:tr2bl w:val="nil"/>
            </w:tcBorders>
            <w:shd w:val="clear" w:color="auto" w:fill="auto"/>
            <w:vAlign w:val="center"/>
          </w:tcPr>
          <w:p w14:paraId="285325E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08" w:type="dxa"/>
            <w:tcBorders>
              <w:tl2br w:val="nil"/>
              <w:tr2bl w:val="nil"/>
            </w:tcBorders>
            <w:shd w:val="clear" w:color="auto" w:fill="auto"/>
            <w:vAlign w:val="center"/>
          </w:tcPr>
          <w:p w14:paraId="4675C1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50</w:t>
            </w:r>
          </w:p>
        </w:tc>
        <w:tc>
          <w:tcPr>
            <w:tcW w:w="1014" w:type="dxa"/>
            <w:tcBorders>
              <w:tl2br w:val="nil"/>
              <w:tr2bl w:val="nil"/>
            </w:tcBorders>
            <w:shd w:val="clear" w:color="auto" w:fill="auto"/>
            <w:vAlign w:val="center"/>
          </w:tcPr>
          <w:p w14:paraId="3A610D6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r>
      <w:tr w14:paraId="3EA76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1446" w:type="dxa"/>
            <w:vMerge w:val="restart"/>
            <w:tcBorders>
              <w:tl2br w:val="nil"/>
              <w:tr2bl w:val="nil"/>
            </w:tcBorders>
            <w:shd w:val="clear" w:color="auto" w:fill="auto"/>
            <w:vAlign w:val="center"/>
          </w:tcPr>
          <w:p w14:paraId="04E5A0EA">
            <w:pPr>
              <w:keepNext w:val="0"/>
              <w:keepLines w:val="0"/>
              <w:widowControl/>
              <w:suppressLineNumbers w:val="0"/>
              <w:spacing w:before="0" w:beforeAutospacing="0" w:after="0" w:afterAutospacing="0"/>
              <w:ind w:left="0" w:right="0"/>
              <w:jc w:val="center"/>
              <w:textAlignment w:val="center"/>
              <w:rPr>
                <w:rFonts w:hint="eastAsia"/>
                <w:color w:val="000000"/>
                <w:sz w:val="21"/>
                <w:szCs w:val="21"/>
              </w:rPr>
            </w:pPr>
            <w:r>
              <w:rPr>
                <w:rFonts w:hint="eastAsia"/>
                <w:color w:val="000000"/>
                <w:sz w:val="21"/>
                <w:szCs w:val="21"/>
                <w:lang w:bidi="ar"/>
              </w:rPr>
              <w:t>冷鼓、库区焦油各类贮槽</w:t>
            </w:r>
          </w:p>
        </w:tc>
        <w:tc>
          <w:tcPr>
            <w:tcW w:w="1073" w:type="dxa"/>
            <w:tcBorders>
              <w:tl2br w:val="nil"/>
              <w:tr2bl w:val="nil"/>
            </w:tcBorders>
            <w:shd w:val="clear" w:color="auto" w:fill="auto"/>
            <w:vAlign w:val="center"/>
          </w:tcPr>
          <w:p w14:paraId="74637255">
            <w:pPr>
              <w:keepNext w:val="0"/>
              <w:keepLines w:val="0"/>
              <w:widowControl/>
              <w:suppressLineNumbers w:val="0"/>
              <w:spacing w:before="0" w:beforeAutospacing="0" w:after="0" w:afterAutospacing="0"/>
              <w:ind w:left="0" w:right="0"/>
              <w:jc w:val="center"/>
              <w:textAlignment w:val="center"/>
              <w:rPr>
                <w:rFonts w:hint="eastAsia"/>
                <w:color w:val="000000"/>
                <w:sz w:val="21"/>
                <w:szCs w:val="21"/>
              </w:rPr>
            </w:pPr>
            <w:r>
              <w:rPr>
                <w:rFonts w:hint="eastAsia" w:ascii="Times New Roman" w:hAnsi="Times New Roman" w:cs="Times New Roman"/>
                <w:color w:val="000000"/>
                <w:sz w:val="21"/>
                <w:szCs w:val="21"/>
                <w:lang w:bidi="ar"/>
              </w:rPr>
              <w:t>VOC</w:t>
            </w:r>
          </w:p>
        </w:tc>
        <w:tc>
          <w:tcPr>
            <w:tcW w:w="869" w:type="dxa"/>
            <w:tcBorders>
              <w:tl2br w:val="nil"/>
              <w:tr2bl w:val="nil"/>
            </w:tcBorders>
            <w:shd w:val="clear" w:color="auto" w:fill="auto"/>
            <w:vAlign w:val="center"/>
          </w:tcPr>
          <w:p w14:paraId="71BC138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50</w:t>
            </w:r>
          </w:p>
        </w:tc>
        <w:tc>
          <w:tcPr>
            <w:tcW w:w="1260" w:type="dxa"/>
            <w:tcBorders>
              <w:tl2br w:val="nil"/>
              <w:tr2bl w:val="nil"/>
            </w:tcBorders>
            <w:shd w:val="clear" w:color="auto" w:fill="auto"/>
            <w:vAlign w:val="center"/>
          </w:tcPr>
          <w:p w14:paraId="58DF853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40" w:type="dxa"/>
            <w:tcBorders>
              <w:tl2br w:val="nil"/>
              <w:tr2bl w:val="nil"/>
            </w:tcBorders>
            <w:shd w:val="clear" w:color="auto" w:fill="auto"/>
            <w:vAlign w:val="center"/>
          </w:tcPr>
          <w:p w14:paraId="22C02B0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178" w:type="dxa"/>
            <w:tcBorders>
              <w:tl2br w:val="nil"/>
              <w:tr2bl w:val="nil"/>
            </w:tcBorders>
            <w:shd w:val="clear" w:color="auto" w:fill="auto"/>
            <w:vAlign w:val="center"/>
          </w:tcPr>
          <w:p w14:paraId="3FC730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214~32143</w:t>
            </w:r>
          </w:p>
        </w:tc>
        <w:tc>
          <w:tcPr>
            <w:tcW w:w="808" w:type="dxa"/>
            <w:tcBorders>
              <w:tl2br w:val="nil"/>
              <w:tr2bl w:val="nil"/>
            </w:tcBorders>
            <w:shd w:val="clear" w:color="auto" w:fill="auto"/>
            <w:vAlign w:val="center"/>
          </w:tcPr>
          <w:p w14:paraId="73CCF7C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014" w:type="dxa"/>
            <w:tcBorders>
              <w:tl2br w:val="nil"/>
              <w:tr2bl w:val="nil"/>
            </w:tcBorders>
            <w:shd w:val="clear" w:color="auto" w:fill="auto"/>
            <w:vAlign w:val="center"/>
          </w:tcPr>
          <w:p w14:paraId="4AB54E6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r>
      <w:tr w14:paraId="3ED40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446" w:type="dxa"/>
            <w:vMerge w:val="continue"/>
            <w:tcBorders>
              <w:tl2br w:val="nil"/>
              <w:tr2bl w:val="nil"/>
            </w:tcBorders>
            <w:shd w:val="clear" w:color="auto" w:fill="auto"/>
            <w:vAlign w:val="center"/>
          </w:tcPr>
          <w:p w14:paraId="51429FC7">
            <w:pPr>
              <w:keepNext w:val="0"/>
              <w:keepLines w:val="0"/>
              <w:widowControl/>
              <w:suppressLineNumbers w:val="0"/>
              <w:spacing w:before="0" w:beforeAutospacing="0" w:after="0" w:afterAutospacing="0"/>
              <w:ind w:left="0" w:right="0"/>
              <w:jc w:val="center"/>
              <w:rPr>
                <w:rFonts w:hint="eastAsia"/>
                <w:color w:val="000000"/>
                <w:sz w:val="21"/>
                <w:szCs w:val="21"/>
              </w:rPr>
            </w:pPr>
          </w:p>
        </w:tc>
        <w:tc>
          <w:tcPr>
            <w:tcW w:w="1073" w:type="dxa"/>
            <w:tcBorders>
              <w:tl2br w:val="nil"/>
              <w:tr2bl w:val="nil"/>
            </w:tcBorders>
            <w:shd w:val="clear" w:color="auto" w:fill="auto"/>
            <w:vAlign w:val="center"/>
          </w:tcPr>
          <w:p w14:paraId="12080A2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氨</w:t>
            </w:r>
          </w:p>
        </w:tc>
        <w:tc>
          <w:tcPr>
            <w:tcW w:w="869" w:type="dxa"/>
            <w:tcBorders>
              <w:tl2br w:val="nil"/>
              <w:tr2bl w:val="nil"/>
            </w:tcBorders>
            <w:shd w:val="clear" w:color="auto" w:fill="auto"/>
            <w:vAlign w:val="center"/>
          </w:tcPr>
          <w:p w14:paraId="0B4F63D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20</w:t>
            </w:r>
          </w:p>
        </w:tc>
        <w:tc>
          <w:tcPr>
            <w:tcW w:w="1260" w:type="dxa"/>
            <w:tcBorders>
              <w:tl2br w:val="nil"/>
              <w:tr2bl w:val="nil"/>
            </w:tcBorders>
            <w:shd w:val="clear" w:color="auto" w:fill="auto"/>
            <w:vAlign w:val="center"/>
          </w:tcPr>
          <w:p w14:paraId="0D9CB09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40" w:type="dxa"/>
            <w:tcBorders>
              <w:tl2br w:val="nil"/>
              <w:tr2bl w:val="nil"/>
            </w:tcBorders>
            <w:shd w:val="clear" w:color="auto" w:fill="auto"/>
            <w:vAlign w:val="center"/>
          </w:tcPr>
          <w:p w14:paraId="70ED41F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178" w:type="dxa"/>
            <w:tcBorders>
              <w:tl2br w:val="nil"/>
              <w:tr2bl w:val="nil"/>
            </w:tcBorders>
            <w:shd w:val="clear" w:color="auto" w:fill="auto"/>
            <w:vAlign w:val="center"/>
          </w:tcPr>
          <w:p w14:paraId="6F3A3D4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08" w:type="dxa"/>
            <w:tcBorders>
              <w:tl2br w:val="nil"/>
              <w:tr2bl w:val="nil"/>
            </w:tcBorders>
            <w:shd w:val="clear" w:color="auto" w:fill="auto"/>
            <w:vAlign w:val="center"/>
          </w:tcPr>
          <w:p w14:paraId="7E2AB30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014" w:type="dxa"/>
            <w:tcBorders>
              <w:tl2br w:val="nil"/>
              <w:tr2bl w:val="nil"/>
            </w:tcBorders>
            <w:shd w:val="clear" w:color="auto" w:fill="auto"/>
            <w:vAlign w:val="center"/>
          </w:tcPr>
          <w:p w14:paraId="6C7B0CE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30</w:t>
            </w:r>
          </w:p>
        </w:tc>
      </w:tr>
      <w:tr w14:paraId="50245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446" w:type="dxa"/>
            <w:vMerge w:val="continue"/>
            <w:tcBorders>
              <w:bottom w:val="single" w:color="000000" w:sz="4" w:space="0"/>
              <w:tl2br w:val="nil"/>
              <w:tr2bl w:val="nil"/>
            </w:tcBorders>
            <w:shd w:val="clear" w:color="auto" w:fill="auto"/>
            <w:vAlign w:val="center"/>
          </w:tcPr>
          <w:p w14:paraId="269D1C40">
            <w:pPr>
              <w:keepNext w:val="0"/>
              <w:keepLines w:val="0"/>
              <w:widowControl/>
              <w:suppressLineNumbers w:val="0"/>
              <w:spacing w:before="0" w:beforeAutospacing="0" w:after="0" w:afterAutospacing="0"/>
              <w:ind w:left="0" w:right="0"/>
              <w:jc w:val="center"/>
              <w:rPr>
                <w:rFonts w:hint="eastAsia"/>
                <w:color w:val="000000"/>
                <w:sz w:val="21"/>
                <w:szCs w:val="21"/>
              </w:rPr>
            </w:pPr>
          </w:p>
        </w:tc>
        <w:tc>
          <w:tcPr>
            <w:tcW w:w="1073" w:type="dxa"/>
            <w:tcBorders>
              <w:bottom w:val="single" w:color="000000" w:sz="4" w:space="0"/>
              <w:tl2br w:val="nil"/>
              <w:tr2bl w:val="nil"/>
            </w:tcBorders>
            <w:shd w:val="clear" w:color="auto" w:fill="auto"/>
            <w:vAlign w:val="center"/>
          </w:tcPr>
          <w:p w14:paraId="16DA377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硫化氢</w:t>
            </w:r>
          </w:p>
        </w:tc>
        <w:tc>
          <w:tcPr>
            <w:tcW w:w="869" w:type="dxa"/>
            <w:tcBorders>
              <w:bottom w:val="single" w:color="000000" w:sz="4" w:space="0"/>
              <w:tl2br w:val="nil"/>
              <w:tr2bl w:val="nil"/>
            </w:tcBorders>
            <w:shd w:val="clear" w:color="auto" w:fill="auto"/>
            <w:vAlign w:val="center"/>
          </w:tcPr>
          <w:p w14:paraId="1E1867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3</w:t>
            </w:r>
          </w:p>
        </w:tc>
        <w:tc>
          <w:tcPr>
            <w:tcW w:w="1260" w:type="dxa"/>
            <w:tcBorders>
              <w:bottom w:val="single" w:color="000000" w:sz="4" w:space="0"/>
              <w:tl2br w:val="nil"/>
              <w:tr2bl w:val="nil"/>
            </w:tcBorders>
            <w:shd w:val="clear" w:color="auto" w:fill="auto"/>
            <w:vAlign w:val="center"/>
          </w:tcPr>
          <w:p w14:paraId="31F36E5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40" w:type="dxa"/>
            <w:tcBorders>
              <w:bottom w:val="single" w:color="000000" w:sz="4" w:space="0"/>
              <w:tl2br w:val="nil"/>
              <w:tr2bl w:val="nil"/>
            </w:tcBorders>
            <w:shd w:val="clear" w:color="auto" w:fill="auto"/>
            <w:vAlign w:val="center"/>
          </w:tcPr>
          <w:p w14:paraId="0821BBB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178" w:type="dxa"/>
            <w:tcBorders>
              <w:bottom w:val="single" w:color="000000" w:sz="4" w:space="0"/>
              <w:tl2br w:val="nil"/>
              <w:tr2bl w:val="nil"/>
            </w:tcBorders>
            <w:shd w:val="clear" w:color="auto" w:fill="auto"/>
            <w:vAlign w:val="center"/>
          </w:tcPr>
          <w:p w14:paraId="2D304F0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08" w:type="dxa"/>
            <w:tcBorders>
              <w:bottom w:val="single" w:color="000000" w:sz="4" w:space="0"/>
              <w:tl2br w:val="nil"/>
              <w:tr2bl w:val="nil"/>
            </w:tcBorders>
            <w:shd w:val="clear" w:color="auto" w:fill="auto"/>
            <w:vAlign w:val="center"/>
          </w:tcPr>
          <w:p w14:paraId="6303F1E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014" w:type="dxa"/>
            <w:tcBorders>
              <w:bottom w:val="single" w:color="000000" w:sz="4" w:space="0"/>
              <w:tl2br w:val="nil"/>
              <w:tr2bl w:val="nil"/>
            </w:tcBorders>
            <w:shd w:val="clear" w:color="auto" w:fill="auto"/>
            <w:vAlign w:val="center"/>
          </w:tcPr>
          <w:p w14:paraId="2EE004B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w:t>
            </w:r>
          </w:p>
        </w:tc>
      </w:tr>
      <w:tr w14:paraId="1E269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446" w:type="dxa"/>
            <w:vMerge w:val="restart"/>
            <w:tcBorders>
              <w:bottom w:val="single" w:color="auto" w:sz="4" w:space="0"/>
              <w:tl2br w:val="nil"/>
              <w:tr2bl w:val="nil"/>
            </w:tcBorders>
            <w:shd w:val="clear" w:color="auto" w:fill="auto"/>
            <w:vAlign w:val="center"/>
          </w:tcPr>
          <w:p w14:paraId="52D2745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苯贮槽</w:t>
            </w:r>
          </w:p>
        </w:tc>
        <w:tc>
          <w:tcPr>
            <w:tcW w:w="1073" w:type="dxa"/>
            <w:tcBorders>
              <w:bottom w:val="single" w:color="auto" w:sz="4" w:space="0"/>
              <w:tl2br w:val="nil"/>
              <w:tr2bl w:val="nil"/>
            </w:tcBorders>
            <w:shd w:val="clear" w:color="auto" w:fill="auto"/>
            <w:vAlign w:val="center"/>
          </w:tcPr>
          <w:p w14:paraId="67AAA0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Style w:val="126"/>
                <w:rFonts w:hint="default"/>
                <w:sz w:val="21"/>
                <w:szCs w:val="21"/>
                <w:lang w:bidi="ar"/>
              </w:rPr>
              <w:t>苯</w:t>
            </w:r>
          </w:p>
        </w:tc>
        <w:tc>
          <w:tcPr>
            <w:tcW w:w="869" w:type="dxa"/>
            <w:tcBorders>
              <w:bottom w:val="single" w:color="auto" w:sz="4" w:space="0"/>
              <w:tl2br w:val="nil"/>
              <w:tr2bl w:val="nil"/>
            </w:tcBorders>
            <w:shd w:val="clear" w:color="auto" w:fill="auto"/>
            <w:vAlign w:val="center"/>
          </w:tcPr>
          <w:p w14:paraId="3D1DF4A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4</w:t>
            </w:r>
          </w:p>
        </w:tc>
        <w:tc>
          <w:tcPr>
            <w:tcW w:w="1260" w:type="dxa"/>
            <w:tcBorders>
              <w:bottom w:val="single" w:color="auto" w:sz="4" w:space="0"/>
              <w:tl2br w:val="nil"/>
              <w:tr2bl w:val="nil"/>
            </w:tcBorders>
            <w:shd w:val="clear" w:color="auto" w:fill="auto"/>
            <w:vAlign w:val="center"/>
          </w:tcPr>
          <w:p w14:paraId="0DFC78E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40" w:type="dxa"/>
            <w:tcBorders>
              <w:bottom w:val="single" w:color="auto" w:sz="4" w:space="0"/>
              <w:tl2br w:val="nil"/>
              <w:tr2bl w:val="nil"/>
            </w:tcBorders>
            <w:shd w:val="clear" w:color="auto" w:fill="auto"/>
            <w:vAlign w:val="center"/>
          </w:tcPr>
          <w:p w14:paraId="433EEC0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178" w:type="dxa"/>
            <w:tcBorders>
              <w:bottom w:val="single" w:color="auto" w:sz="4" w:space="0"/>
              <w:tl2br w:val="nil"/>
              <w:tr2bl w:val="nil"/>
            </w:tcBorders>
            <w:shd w:val="clear" w:color="auto" w:fill="auto"/>
            <w:vAlign w:val="center"/>
          </w:tcPr>
          <w:p w14:paraId="15EC35E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100~1500</w:t>
            </w:r>
          </w:p>
        </w:tc>
        <w:tc>
          <w:tcPr>
            <w:tcW w:w="808" w:type="dxa"/>
            <w:tcBorders>
              <w:bottom w:val="single" w:color="auto" w:sz="4" w:space="0"/>
              <w:tl2br w:val="nil"/>
              <w:tr2bl w:val="nil"/>
            </w:tcBorders>
            <w:shd w:val="clear" w:color="auto" w:fill="auto"/>
            <w:vAlign w:val="center"/>
          </w:tcPr>
          <w:p w14:paraId="7B8FAED3">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014" w:type="dxa"/>
            <w:tcBorders>
              <w:bottom w:val="single" w:color="auto" w:sz="4" w:space="0"/>
              <w:tl2br w:val="nil"/>
              <w:tr2bl w:val="nil"/>
            </w:tcBorders>
            <w:shd w:val="clear" w:color="auto" w:fill="auto"/>
            <w:vAlign w:val="center"/>
          </w:tcPr>
          <w:p w14:paraId="7C05CEE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r>
      <w:tr w14:paraId="72A0B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1446" w:type="dxa"/>
            <w:vMerge w:val="continue"/>
            <w:tcBorders>
              <w:top w:val="single" w:color="auto" w:sz="4" w:space="0"/>
              <w:tl2br w:val="nil"/>
              <w:tr2bl w:val="nil"/>
            </w:tcBorders>
            <w:shd w:val="clear" w:color="auto" w:fill="auto"/>
            <w:vAlign w:val="center"/>
          </w:tcPr>
          <w:p w14:paraId="40C12D3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p>
        </w:tc>
        <w:tc>
          <w:tcPr>
            <w:tcW w:w="1073" w:type="dxa"/>
            <w:tcBorders>
              <w:top w:val="single" w:color="auto" w:sz="4" w:space="0"/>
              <w:tl2br w:val="nil"/>
              <w:tr2bl w:val="nil"/>
            </w:tcBorders>
            <w:shd w:val="clear" w:color="auto" w:fill="auto"/>
            <w:vAlign w:val="center"/>
          </w:tcPr>
          <w:p w14:paraId="482D0B6D">
            <w:pPr>
              <w:keepNext w:val="0"/>
              <w:keepLines w:val="0"/>
              <w:widowControl/>
              <w:suppressLineNumbers w:val="0"/>
              <w:spacing w:before="0" w:beforeAutospacing="0" w:after="0" w:afterAutospacing="0"/>
              <w:ind w:left="0" w:right="0"/>
              <w:jc w:val="center"/>
              <w:textAlignment w:val="center"/>
              <w:rPr>
                <w:rFonts w:hint="eastAsia"/>
                <w:color w:val="000000"/>
                <w:sz w:val="21"/>
                <w:szCs w:val="21"/>
              </w:rPr>
            </w:pPr>
            <w:r>
              <w:rPr>
                <w:rFonts w:hint="eastAsia" w:ascii="Times New Roman" w:hAnsi="Times New Roman" w:cs="Times New Roman"/>
                <w:color w:val="000000"/>
                <w:sz w:val="21"/>
                <w:szCs w:val="21"/>
                <w:lang w:bidi="ar"/>
              </w:rPr>
              <w:t>VOC</w:t>
            </w:r>
          </w:p>
        </w:tc>
        <w:tc>
          <w:tcPr>
            <w:tcW w:w="869" w:type="dxa"/>
            <w:tcBorders>
              <w:top w:val="single" w:color="auto" w:sz="4" w:space="0"/>
              <w:tl2br w:val="nil"/>
              <w:tr2bl w:val="nil"/>
            </w:tcBorders>
            <w:shd w:val="clear" w:color="auto" w:fill="auto"/>
            <w:vAlign w:val="center"/>
          </w:tcPr>
          <w:p w14:paraId="213D358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50</w:t>
            </w:r>
          </w:p>
        </w:tc>
        <w:tc>
          <w:tcPr>
            <w:tcW w:w="1260" w:type="dxa"/>
            <w:tcBorders>
              <w:top w:val="single" w:color="auto" w:sz="4" w:space="0"/>
              <w:tl2br w:val="nil"/>
              <w:tr2bl w:val="nil"/>
            </w:tcBorders>
            <w:shd w:val="clear" w:color="auto" w:fill="auto"/>
            <w:vAlign w:val="center"/>
          </w:tcPr>
          <w:p w14:paraId="61151F1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840" w:type="dxa"/>
            <w:tcBorders>
              <w:top w:val="single" w:color="auto" w:sz="4" w:space="0"/>
              <w:tl2br w:val="nil"/>
              <w:tr2bl w:val="nil"/>
            </w:tcBorders>
            <w:shd w:val="clear" w:color="auto" w:fill="auto"/>
            <w:vAlign w:val="center"/>
          </w:tcPr>
          <w:p w14:paraId="5E95754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178" w:type="dxa"/>
            <w:tcBorders>
              <w:top w:val="single" w:color="auto" w:sz="4" w:space="0"/>
              <w:tl2br w:val="nil"/>
              <w:tr2bl w:val="nil"/>
            </w:tcBorders>
            <w:shd w:val="clear" w:color="auto" w:fill="auto"/>
            <w:vAlign w:val="center"/>
          </w:tcPr>
          <w:p w14:paraId="689F7BE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bidi="ar"/>
              </w:rPr>
              <w:t>214~32143</w:t>
            </w:r>
          </w:p>
        </w:tc>
        <w:tc>
          <w:tcPr>
            <w:tcW w:w="808" w:type="dxa"/>
            <w:tcBorders>
              <w:top w:val="single" w:color="auto" w:sz="4" w:space="0"/>
              <w:tl2br w:val="nil"/>
              <w:tr2bl w:val="nil"/>
            </w:tcBorders>
            <w:shd w:val="clear" w:color="auto" w:fill="auto"/>
            <w:vAlign w:val="center"/>
          </w:tcPr>
          <w:p w14:paraId="7964AA9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c>
          <w:tcPr>
            <w:tcW w:w="1014" w:type="dxa"/>
            <w:tcBorders>
              <w:top w:val="single" w:color="auto" w:sz="4" w:space="0"/>
              <w:tl2br w:val="nil"/>
              <w:tr2bl w:val="nil"/>
            </w:tcBorders>
            <w:shd w:val="clear" w:color="auto" w:fill="auto"/>
            <w:vAlign w:val="center"/>
          </w:tcPr>
          <w:p w14:paraId="63DFB01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2"/>
                <w:szCs w:val="20"/>
              </w:rPr>
              <w:t>-</w:t>
            </w:r>
          </w:p>
        </w:tc>
      </w:tr>
    </w:tbl>
    <w:p w14:paraId="57D0B810">
      <w:pPr>
        <w:pStyle w:val="35"/>
        <w:spacing w:before="156"/>
        <w:ind w:firstLine="0"/>
        <w:rPr>
          <w:sz w:val="21"/>
          <w:szCs w:val="21"/>
        </w:rPr>
      </w:pPr>
      <w:r>
        <w:rPr>
          <w:rFonts w:hint="eastAsia" w:cs="Times New Roman"/>
          <w:sz w:val="21"/>
          <w:szCs w:val="21"/>
        </w:rPr>
        <w:t>注：①为日均值。</w:t>
      </w:r>
    </w:p>
    <w:p w14:paraId="54F9F546">
      <w:pPr>
        <w:pStyle w:val="37"/>
        <w:spacing w:before="156"/>
      </w:pPr>
      <w:r>
        <w:t>4.2 其他省份标准</w:t>
      </w:r>
      <w:bookmarkEnd w:id="15"/>
    </w:p>
    <w:p w14:paraId="402A22DF">
      <w:pPr>
        <w:pStyle w:val="13"/>
        <w:spacing w:line="360" w:lineRule="auto"/>
        <w:ind w:firstLine="480" w:firstLineChars="200"/>
        <w:jc w:val="both"/>
        <w:rPr>
          <w:rFonts w:ascii="Times New Roman" w:hAnsi="Times New Roman"/>
        </w:rPr>
      </w:pPr>
      <w:r>
        <w:rPr>
          <w:rFonts w:ascii="Times New Roman" w:hAnsi="Times New Roman"/>
        </w:rPr>
        <w:t>当前河北省《钢铁工业大气污染物超低排放标准》（DB13/ 2169-2018）、山东省《钢铁工业大气污染物排放标准》（DB37/ 990-2019）、河南省《钢铁工业大气污染物超低排放标准》（DB41/ 1954-2020）</w:t>
      </w:r>
      <w:r>
        <w:rPr>
          <w:rFonts w:hint="eastAsia" w:ascii="Times New Roman" w:hAnsi="Times New Roman"/>
        </w:rPr>
        <w:t>、</w:t>
      </w:r>
      <w:r>
        <w:rPr>
          <w:rFonts w:ascii="Times New Roman" w:hAnsi="Times New Roman"/>
        </w:rPr>
        <w:t>山西省《钢铁工业大气污染物超低排放标准》（DB14/ 2249-2020）</w:t>
      </w:r>
      <w:r>
        <w:rPr>
          <w:rFonts w:hint="eastAsia" w:ascii="Times New Roman" w:hAnsi="Times New Roman"/>
        </w:rPr>
        <w:t>、</w:t>
      </w:r>
      <w:r>
        <w:rPr>
          <w:rFonts w:ascii="Times New Roman" w:hAnsi="Times New Roman"/>
        </w:rPr>
        <w:t>天津市</w:t>
      </w:r>
      <w:r>
        <w:rPr>
          <w:rFonts w:hint="eastAsia" w:ascii="Times New Roman" w:hAnsi="Times New Roman"/>
        </w:rPr>
        <w:t>《</w:t>
      </w:r>
      <w:r>
        <w:rPr>
          <w:rFonts w:ascii="Times New Roman" w:hAnsi="Times New Roman"/>
        </w:rPr>
        <w:t>钢铁工业大气污染物排放标准</w:t>
      </w:r>
      <w:r>
        <w:rPr>
          <w:rFonts w:hint="eastAsia" w:ascii="Times New Roman" w:hAnsi="Times New Roman"/>
        </w:rPr>
        <w:t>》</w:t>
      </w:r>
      <w:r>
        <w:rPr>
          <w:rFonts w:ascii="Times New Roman" w:hAnsi="Times New Roman"/>
        </w:rPr>
        <w:t>（DB12/1120-2022）与</w:t>
      </w:r>
      <w:r>
        <w:rPr>
          <w:rFonts w:hint="eastAsia" w:ascii="Times New Roman" w:hAnsi="Times New Roman"/>
        </w:rPr>
        <w:t>辽宁省《</w:t>
      </w:r>
      <w:r>
        <w:rPr>
          <w:rFonts w:ascii="Times New Roman" w:hAnsi="Times New Roman"/>
        </w:rPr>
        <w:t>钢铁工业大气污染物排放标准》</w:t>
      </w:r>
      <w:r>
        <w:rPr>
          <w:rFonts w:hint="eastAsia" w:ascii="Times New Roman" w:hAnsi="Times New Roman"/>
        </w:rPr>
        <w:t>（</w:t>
      </w:r>
      <w:r>
        <w:rPr>
          <w:rFonts w:ascii="Times New Roman" w:hAnsi="Times New Roman"/>
        </w:rPr>
        <w:t>DB21/4119-2025）均已发布钢铁工业大气污染物排放地方标准，结合现有国标与国家超低排放政策要求进行制定，体现地方管理要求的加严趋势。在有组织管控要求上基本按照《超低意见》中超低排放限值予以设定，但四个标准中针对个别因子均有不同程度的收严，主要集中在热风炉、加热炉、热处理炉等冶金炉窑的氮氧化物排放限值收严问题，除山西省</w:t>
      </w:r>
      <w:r>
        <w:rPr>
          <w:rFonts w:hint="eastAsia" w:ascii="Times New Roman" w:hAnsi="Times New Roman"/>
        </w:rPr>
        <w:t>、天津市</w:t>
      </w:r>
      <w:r>
        <w:rPr>
          <w:rFonts w:ascii="Times New Roman" w:hAnsi="Times New Roman"/>
        </w:rPr>
        <w:t>、辽宁省地标外，其他三省地标中上述NO</w:t>
      </w:r>
      <w:r>
        <w:rPr>
          <w:rFonts w:ascii="Times New Roman" w:hAnsi="Times New Roman"/>
          <w:vertAlign w:val="subscript"/>
        </w:rPr>
        <w:t>X</w:t>
      </w:r>
      <w:r>
        <w:rPr>
          <w:rFonts w:ascii="Times New Roman" w:hAnsi="Times New Roman"/>
        </w:rPr>
        <w:t>排放限值均从国家超低限值中的200mg/m</w:t>
      </w:r>
      <w:r>
        <w:rPr>
          <w:rFonts w:ascii="Times New Roman" w:hAnsi="Times New Roman"/>
          <w:vertAlign w:val="superscript"/>
        </w:rPr>
        <w:t>3</w:t>
      </w:r>
      <w:r>
        <w:rPr>
          <w:rFonts w:ascii="Times New Roman" w:hAnsi="Times New Roman"/>
        </w:rPr>
        <w:t>收严至150mg/m</w:t>
      </w:r>
      <w:r>
        <w:rPr>
          <w:rFonts w:ascii="Times New Roman" w:hAnsi="Times New Roman"/>
          <w:vertAlign w:val="superscript"/>
        </w:rPr>
        <w:t>3</w:t>
      </w:r>
      <w:r>
        <w:rPr>
          <w:rFonts w:ascii="Times New Roman" w:hAnsi="Times New Roman"/>
        </w:rPr>
        <w:t>。</w:t>
      </w:r>
    </w:p>
    <w:p w14:paraId="2B57BBCC">
      <w:pPr>
        <w:pStyle w:val="13"/>
        <w:spacing w:line="360" w:lineRule="auto"/>
        <w:ind w:firstLine="480" w:firstLineChars="200"/>
        <w:jc w:val="both"/>
        <w:rPr>
          <w:rFonts w:ascii="Times New Roman" w:hAnsi="Times New Roman"/>
        </w:rPr>
      </w:pPr>
      <w:r>
        <w:rPr>
          <w:rFonts w:ascii="Times New Roman" w:hAnsi="Times New Roman"/>
        </w:rPr>
        <w:t>此外，在无组织管控措施方面，山西省地方标准参照《超低意见》及相关修改单文件要求，细化了各工序无组织管控要求，对超低排放无组织环节进行了较为明确的约束，对原料系统储存、生产工艺过程、物料输送等各个环节的无组织管控要求提出较为具体的管控措施。其他省份无组织方面仅按《超低意见》中无组织管控原则性要求进行编制，以结果导向约束无组织排放控制。</w:t>
      </w:r>
    </w:p>
    <w:p w14:paraId="33C6731F">
      <w:pPr>
        <w:pStyle w:val="13"/>
        <w:spacing w:line="360" w:lineRule="auto"/>
        <w:ind w:firstLine="480" w:firstLineChars="200"/>
        <w:jc w:val="both"/>
        <w:rPr>
          <w:rFonts w:ascii="Times New Roman" w:hAnsi="Times New Roman"/>
        </w:rPr>
      </w:pPr>
      <w:r>
        <w:rPr>
          <w:rFonts w:ascii="Times New Roman" w:hAnsi="Times New Roman"/>
        </w:rPr>
        <w:t>表4-</w:t>
      </w:r>
      <w:r>
        <w:rPr>
          <w:rFonts w:hint="eastAsia" w:ascii="Times New Roman" w:hAnsi="Times New Roman"/>
        </w:rPr>
        <w:t>7</w:t>
      </w:r>
      <w:r>
        <w:rPr>
          <w:rFonts w:ascii="Times New Roman" w:hAnsi="Times New Roman"/>
        </w:rPr>
        <w:t>至4-1</w:t>
      </w:r>
      <w:r>
        <w:rPr>
          <w:rFonts w:hint="eastAsia" w:ascii="Times New Roman" w:hAnsi="Times New Roman"/>
        </w:rPr>
        <w:t>1</w:t>
      </w:r>
      <w:r>
        <w:rPr>
          <w:rFonts w:ascii="Times New Roman" w:hAnsi="Times New Roman"/>
        </w:rPr>
        <w:t>对比了现行国标与已发布地方标准各工序污染物排放限值对比情况。</w:t>
      </w:r>
    </w:p>
    <w:p w14:paraId="534B279A">
      <w:pPr>
        <w:rPr>
          <w:rFonts w:ascii="Times New Roman" w:hAnsi="Times New Roman" w:cs="Times New Roman"/>
          <w:szCs w:val="20"/>
        </w:rPr>
      </w:pPr>
      <w:r>
        <w:rPr>
          <w:rFonts w:ascii="Times New Roman" w:hAnsi="Times New Roman"/>
        </w:rPr>
        <w:br w:type="page"/>
      </w:r>
    </w:p>
    <w:p w14:paraId="2CB95197">
      <w:pPr>
        <w:pStyle w:val="13"/>
        <w:spacing w:line="360" w:lineRule="auto"/>
        <w:ind w:firstLine="480"/>
        <w:rPr>
          <w:rFonts w:ascii="Times New Roman" w:hAnsi="Times New Roman"/>
        </w:rPr>
      </w:pPr>
      <w:r>
        <w:rPr>
          <w:rFonts w:ascii="Times New Roman" w:hAnsi="Times New Roman"/>
        </w:rPr>
        <w:t>（1）烧结与球团</w:t>
      </w:r>
    </w:p>
    <w:p w14:paraId="67DEDA45">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表4-</w:t>
      </w:r>
      <w:r>
        <w:rPr>
          <w:rFonts w:hint="eastAsia" w:ascii="Times New Roman" w:hAnsi="Times New Roman" w:cs="Times New Roman"/>
          <w:b/>
          <w:bCs/>
          <w:color w:val="000000"/>
          <w:szCs w:val="32"/>
        </w:rPr>
        <w:t>7</w:t>
      </w:r>
      <w:r>
        <w:rPr>
          <w:rFonts w:ascii="Times New Roman" w:hAnsi="Times New Roman" w:cs="Times New Roman"/>
          <w:b/>
          <w:bCs/>
          <w:color w:val="000000"/>
          <w:szCs w:val="32"/>
        </w:rPr>
        <w:t xml:space="preserve">  烧结（球团）工段大气污染物排放相关标准比较（mg/m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54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28"/>
        <w:gridCol w:w="701"/>
        <w:gridCol w:w="697"/>
        <w:gridCol w:w="697"/>
        <w:gridCol w:w="697"/>
        <w:gridCol w:w="697"/>
        <w:gridCol w:w="696"/>
        <w:gridCol w:w="1136"/>
        <w:gridCol w:w="1725"/>
      </w:tblGrid>
      <w:tr w14:paraId="74CA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Merge w:val="restart"/>
            <w:vAlign w:val="center"/>
          </w:tcPr>
          <w:p w14:paraId="10FF5BC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标准</w:t>
            </w:r>
          </w:p>
        </w:tc>
        <w:tc>
          <w:tcPr>
            <w:tcW w:w="5182" w:type="dxa"/>
            <w:gridSpan w:val="7"/>
            <w:vAlign w:val="center"/>
          </w:tcPr>
          <w:p w14:paraId="2DADB84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烧结机头、球团焙烧设备</w:t>
            </w:r>
          </w:p>
        </w:tc>
        <w:tc>
          <w:tcPr>
            <w:tcW w:w="1679" w:type="dxa"/>
            <w:vAlign w:val="center"/>
          </w:tcPr>
          <w:p w14:paraId="430CE85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烧结机机尾、带式焙烧机机尾以及其他生产设备</w:t>
            </w:r>
          </w:p>
        </w:tc>
      </w:tr>
      <w:tr w14:paraId="1AA3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Merge w:val="continue"/>
            <w:vAlign w:val="center"/>
          </w:tcPr>
          <w:p w14:paraId="62AEDF0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c>
          <w:tcPr>
            <w:tcW w:w="682" w:type="dxa"/>
            <w:vAlign w:val="center"/>
          </w:tcPr>
          <w:p w14:paraId="6E55069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679" w:type="dxa"/>
            <w:vAlign w:val="center"/>
          </w:tcPr>
          <w:p w14:paraId="7CE078F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w:t>
            </w:r>
          </w:p>
          <w:p w14:paraId="4D872E3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化硫</w:t>
            </w:r>
          </w:p>
        </w:tc>
        <w:tc>
          <w:tcPr>
            <w:tcW w:w="679" w:type="dxa"/>
            <w:vAlign w:val="center"/>
          </w:tcPr>
          <w:p w14:paraId="60831D4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氮氧</w:t>
            </w:r>
          </w:p>
          <w:p w14:paraId="1C3FE63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化物</w:t>
            </w:r>
          </w:p>
        </w:tc>
        <w:tc>
          <w:tcPr>
            <w:tcW w:w="679" w:type="dxa"/>
            <w:vAlign w:val="center"/>
          </w:tcPr>
          <w:p w14:paraId="2197489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679" w:type="dxa"/>
            <w:vAlign w:val="center"/>
          </w:tcPr>
          <w:p w14:paraId="03EFF60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氟化物</w:t>
            </w:r>
          </w:p>
        </w:tc>
        <w:tc>
          <w:tcPr>
            <w:tcW w:w="678" w:type="dxa"/>
            <w:vAlign w:val="center"/>
          </w:tcPr>
          <w:p w14:paraId="66589F7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铅及其化合物</w:t>
            </w:r>
          </w:p>
        </w:tc>
        <w:tc>
          <w:tcPr>
            <w:tcW w:w="1106" w:type="dxa"/>
            <w:vAlign w:val="center"/>
          </w:tcPr>
          <w:p w14:paraId="094C280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二噁英类（ng-TEQ/m</w:t>
            </w:r>
            <w:r>
              <w:rPr>
                <w:rFonts w:hint="eastAsia" w:ascii="Times New Roman" w:hAnsi="Times New Roman" w:cs="Times New Roman"/>
                <w:color w:val="000000"/>
                <w:sz w:val="22"/>
                <w:szCs w:val="20"/>
                <w:vertAlign w:val="superscript"/>
              </w:rPr>
              <w:t>3</w:t>
            </w:r>
            <w:r>
              <w:rPr>
                <w:rFonts w:hint="eastAsia" w:ascii="Times New Roman" w:hAnsi="Times New Roman" w:cs="Times New Roman"/>
                <w:color w:val="000000"/>
                <w:sz w:val="22"/>
                <w:szCs w:val="20"/>
              </w:rPr>
              <w:t>）</w:t>
            </w:r>
          </w:p>
        </w:tc>
        <w:tc>
          <w:tcPr>
            <w:tcW w:w="1679" w:type="dxa"/>
            <w:vAlign w:val="center"/>
          </w:tcPr>
          <w:p w14:paraId="0182A91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r>
      <w:tr w14:paraId="27EE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Align w:val="center"/>
          </w:tcPr>
          <w:p w14:paraId="3E7D1F1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国家标准（GB28662-2012）</w:t>
            </w:r>
          </w:p>
        </w:tc>
        <w:tc>
          <w:tcPr>
            <w:tcW w:w="806" w:type="dxa"/>
            <w:vAlign w:val="center"/>
          </w:tcPr>
          <w:p w14:paraId="209BFE5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特别排放限值</w:t>
            </w:r>
          </w:p>
        </w:tc>
        <w:tc>
          <w:tcPr>
            <w:tcW w:w="682" w:type="dxa"/>
            <w:vAlign w:val="center"/>
          </w:tcPr>
          <w:p w14:paraId="69AAADD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679" w:type="dxa"/>
            <w:vAlign w:val="center"/>
          </w:tcPr>
          <w:p w14:paraId="0CD7D5E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180</w:t>
            </w:r>
          </w:p>
        </w:tc>
        <w:tc>
          <w:tcPr>
            <w:tcW w:w="679" w:type="dxa"/>
            <w:vAlign w:val="center"/>
          </w:tcPr>
          <w:p w14:paraId="5393A83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300</w:t>
            </w:r>
          </w:p>
        </w:tc>
        <w:tc>
          <w:tcPr>
            <w:tcW w:w="679" w:type="dxa"/>
            <w:vAlign w:val="center"/>
          </w:tcPr>
          <w:p w14:paraId="6802D78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9" w:type="dxa"/>
            <w:vAlign w:val="center"/>
          </w:tcPr>
          <w:p w14:paraId="1E69331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678" w:type="dxa"/>
            <w:vAlign w:val="center"/>
          </w:tcPr>
          <w:p w14:paraId="776CE35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106" w:type="dxa"/>
            <w:vAlign w:val="center"/>
          </w:tcPr>
          <w:p w14:paraId="4BC8B63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7537634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r>
      <w:tr w14:paraId="26AF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66D1F2F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bookmarkStart w:id="16" w:name="_Hlk184819264"/>
            <w:r>
              <w:rPr>
                <w:rFonts w:hint="eastAsia" w:ascii="Times New Roman" w:hAnsi="Times New Roman" w:cs="Times New Roman"/>
                <w:color w:val="000000"/>
                <w:sz w:val="22"/>
                <w:szCs w:val="20"/>
              </w:rPr>
              <w:t>河北省标准（DB13/2169—2018）</w:t>
            </w:r>
          </w:p>
        </w:tc>
        <w:tc>
          <w:tcPr>
            <w:tcW w:w="682" w:type="dxa"/>
            <w:vAlign w:val="center"/>
          </w:tcPr>
          <w:p w14:paraId="21F4E03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6810D6B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21087F7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4635C78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9" w:type="dxa"/>
            <w:vAlign w:val="center"/>
          </w:tcPr>
          <w:p w14:paraId="359B664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678" w:type="dxa"/>
            <w:vAlign w:val="center"/>
          </w:tcPr>
          <w:p w14:paraId="2722216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0.7</w:t>
            </w:r>
          </w:p>
        </w:tc>
        <w:tc>
          <w:tcPr>
            <w:tcW w:w="1106" w:type="dxa"/>
            <w:vAlign w:val="center"/>
          </w:tcPr>
          <w:p w14:paraId="2F73C59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6CA709D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bookmarkEnd w:id="16"/>
      <w:tr w14:paraId="7FD0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129E511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山东省标准（DB37/990-2019）</w:t>
            </w:r>
          </w:p>
        </w:tc>
        <w:tc>
          <w:tcPr>
            <w:tcW w:w="682" w:type="dxa"/>
            <w:vAlign w:val="center"/>
          </w:tcPr>
          <w:p w14:paraId="2E4F416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173CCBD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5FBEA14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163E190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9" w:type="dxa"/>
            <w:vAlign w:val="center"/>
          </w:tcPr>
          <w:p w14:paraId="3932FE6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8" w:type="dxa"/>
            <w:vAlign w:val="center"/>
          </w:tcPr>
          <w:p w14:paraId="4058782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0.9</w:t>
            </w:r>
          </w:p>
        </w:tc>
        <w:tc>
          <w:tcPr>
            <w:tcW w:w="1106" w:type="dxa"/>
            <w:vAlign w:val="center"/>
          </w:tcPr>
          <w:p w14:paraId="3BCD801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1F865C8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D2A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183E406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河南省标准（DB41/1954-2020）</w:t>
            </w:r>
          </w:p>
        </w:tc>
        <w:tc>
          <w:tcPr>
            <w:tcW w:w="682" w:type="dxa"/>
            <w:vAlign w:val="center"/>
          </w:tcPr>
          <w:p w14:paraId="73FDD7C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2CC11D2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7D4507D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563F2F2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9" w:type="dxa"/>
            <w:vAlign w:val="center"/>
          </w:tcPr>
          <w:p w14:paraId="32045C3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678" w:type="dxa"/>
            <w:vAlign w:val="center"/>
          </w:tcPr>
          <w:p w14:paraId="29C5B8C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106" w:type="dxa"/>
            <w:vAlign w:val="center"/>
          </w:tcPr>
          <w:p w14:paraId="7344E48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5E276F0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2A77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4CADF8B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山西省标准（DB14/2249-2020）</w:t>
            </w:r>
          </w:p>
        </w:tc>
        <w:tc>
          <w:tcPr>
            <w:tcW w:w="682" w:type="dxa"/>
            <w:vAlign w:val="center"/>
          </w:tcPr>
          <w:p w14:paraId="4078FB0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65369C9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7E5280F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51F4454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9" w:type="dxa"/>
            <w:vAlign w:val="center"/>
          </w:tcPr>
          <w:p w14:paraId="5067641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678" w:type="dxa"/>
            <w:vAlign w:val="center"/>
          </w:tcPr>
          <w:p w14:paraId="3392E04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106" w:type="dxa"/>
            <w:vAlign w:val="center"/>
          </w:tcPr>
          <w:p w14:paraId="5CDA92A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64CC8CA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2258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4337E24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天津市标准（DB12/1120-2022）</w:t>
            </w:r>
          </w:p>
        </w:tc>
        <w:tc>
          <w:tcPr>
            <w:tcW w:w="682" w:type="dxa"/>
            <w:vAlign w:val="center"/>
          </w:tcPr>
          <w:p w14:paraId="6F395DF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6B07885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7A3EFDE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64457B7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679" w:type="dxa"/>
            <w:vAlign w:val="center"/>
          </w:tcPr>
          <w:p w14:paraId="01E8767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678" w:type="dxa"/>
            <w:vAlign w:val="center"/>
          </w:tcPr>
          <w:p w14:paraId="73A8DD7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106" w:type="dxa"/>
            <w:vAlign w:val="center"/>
          </w:tcPr>
          <w:p w14:paraId="55225E8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69D0C3D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0B81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5CA06F1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辽宁省标准</w:t>
            </w:r>
          </w:p>
          <w:p w14:paraId="5ABD8B0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（DB21/4119-2025）</w:t>
            </w:r>
          </w:p>
        </w:tc>
        <w:tc>
          <w:tcPr>
            <w:tcW w:w="682" w:type="dxa"/>
            <w:vAlign w:val="center"/>
          </w:tcPr>
          <w:p w14:paraId="6777E66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31BABA8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44C5FEC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0EDDAE3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679" w:type="dxa"/>
            <w:vAlign w:val="center"/>
          </w:tcPr>
          <w:p w14:paraId="080243D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w:t>
            </w:r>
          </w:p>
        </w:tc>
        <w:tc>
          <w:tcPr>
            <w:tcW w:w="678" w:type="dxa"/>
            <w:vAlign w:val="center"/>
          </w:tcPr>
          <w:p w14:paraId="6F6AA8C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106" w:type="dxa"/>
            <w:vAlign w:val="center"/>
          </w:tcPr>
          <w:p w14:paraId="21CAC71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1EA870C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AB5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1EA6825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超低意见</w:t>
            </w:r>
          </w:p>
        </w:tc>
        <w:tc>
          <w:tcPr>
            <w:tcW w:w="682" w:type="dxa"/>
            <w:vAlign w:val="center"/>
          </w:tcPr>
          <w:p w14:paraId="57320B9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5FDE3A6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19BDD15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198B322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9" w:type="dxa"/>
            <w:vAlign w:val="center"/>
          </w:tcPr>
          <w:p w14:paraId="42617F9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8" w:type="dxa"/>
            <w:vAlign w:val="center"/>
          </w:tcPr>
          <w:p w14:paraId="6F477BB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106" w:type="dxa"/>
            <w:vAlign w:val="center"/>
          </w:tcPr>
          <w:p w14:paraId="7D342A9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679" w:type="dxa"/>
            <w:vAlign w:val="center"/>
          </w:tcPr>
          <w:p w14:paraId="240C3A1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bl>
    <w:p w14:paraId="4833AF66">
      <w:pPr>
        <w:pStyle w:val="13"/>
        <w:spacing w:line="360" w:lineRule="auto"/>
        <w:ind w:firstLine="482"/>
        <w:jc w:val="both"/>
        <w:rPr>
          <w:rFonts w:ascii="Times New Roman" w:hAnsi="Times New Roman"/>
        </w:rPr>
      </w:pPr>
      <w:r>
        <w:rPr>
          <w:rFonts w:ascii="Times New Roman" w:hAnsi="Times New Roman"/>
        </w:rPr>
        <w:t>河北、山东、河南、天津四个省市钢铁排放标准中烧结、球团工序三类常规大气污染物排放限值要求同《超低意见》中限值浓度保持一致，较现行国标GB28662各常规大气污染物排放限值均加严。氟化物排放限值除山东地标加严外，其余标准均与国标GB28662限值保持一致。</w:t>
      </w:r>
    </w:p>
    <w:p w14:paraId="7EDB5D0B">
      <w:pPr>
        <w:rPr>
          <w:rFonts w:ascii="Times New Roman" w:hAnsi="Times New Roman" w:cs="Times New Roman"/>
          <w:szCs w:val="20"/>
        </w:rPr>
      </w:pPr>
      <w:r>
        <w:rPr>
          <w:rFonts w:ascii="Times New Roman" w:hAnsi="Times New Roman"/>
        </w:rPr>
        <w:br w:type="page"/>
      </w:r>
    </w:p>
    <w:p w14:paraId="3C6F1840">
      <w:pPr>
        <w:pStyle w:val="13"/>
        <w:spacing w:line="360" w:lineRule="auto"/>
        <w:ind w:firstLine="480"/>
        <w:rPr>
          <w:rFonts w:ascii="Times New Roman" w:hAnsi="Times New Roman"/>
        </w:rPr>
      </w:pPr>
      <w:r>
        <w:rPr>
          <w:rFonts w:ascii="Times New Roman" w:hAnsi="Times New Roman"/>
        </w:rPr>
        <w:t>（2）焦化工序</w:t>
      </w:r>
    </w:p>
    <w:p w14:paraId="1E560237">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表4-</w:t>
      </w:r>
      <w:r>
        <w:rPr>
          <w:rFonts w:hint="eastAsia" w:ascii="Times New Roman" w:hAnsi="Times New Roman" w:cs="Times New Roman"/>
          <w:b/>
          <w:bCs/>
          <w:color w:val="000000"/>
          <w:szCs w:val="32"/>
        </w:rPr>
        <w:t>8</w:t>
      </w:r>
      <w:r>
        <w:rPr>
          <w:rFonts w:ascii="Times New Roman" w:hAnsi="Times New Roman" w:cs="Times New Roman"/>
          <w:b/>
          <w:bCs/>
          <w:color w:val="000000"/>
          <w:szCs w:val="32"/>
        </w:rPr>
        <w:t>-1  焦化工序大气污染物排放相关标准比较（mg/m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476"/>
        <w:gridCol w:w="467"/>
        <w:gridCol w:w="531"/>
        <w:gridCol w:w="531"/>
        <w:gridCol w:w="499"/>
        <w:gridCol w:w="537"/>
        <w:gridCol w:w="550"/>
        <w:gridCol w:w="528"/>
        <w:gridCol w:w="540"/>
        <w:gridCol w:w="538"/>
        <w:gridCol w:w="550"/>
        <w:gridCol w:w="528"/>
      </w:tblGrid>
      <w:tr w14:paraId="5D08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Merge w:val="restart"/>
            <w:vAlign w:val="center"/>
          </w:tcPr>
          <w:p w14:paraId="2935949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标准</w:t>
            </w:r>
          </w:p>
        </w:tc>
        <w:tc>
          <w:tcPr>
            <w:tcW w:w="1701" w:type="pct"/>
            <w:gridSpan w:val="5"/>
            <w:vAlign w:val="center"/>
          </w:tcPr>
          <w:p w14:paraId="6C0A7B5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焦炉烟气</w:t>
            </w:r>
          </w:p>
        </w:tc>
        <w:tc>
          <w:tcPr>
            <w:tcW w:w="725" w:type="pct"/>
            <w:gridSpan w:val="2"/>
            <w:vAlign w:val="center"/>
          </w:tcPr>
          <w:p w14:paraId="4C0EBE4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装煤</w:t>
            </w:r>
          </w:p>
        </w:tc>
        <w:tc>
          <w:tcPr>
            <w:tcW w:w="725" w:type="pct"/>
            <w:gridSpan w:val="2"/>
            <w:vAlign w:val="center"/>
          </w:tcPr>
          <w:p w14:paraId="1B2A4F9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出（推）焦</w:t>
            </w:r>
          </w:p>
        </w:tc>
        <w:tc>
          <w:tcPr>
            <w:tcW w:w="725" w:type="pct"/>
            <w:gridSpan w:val="2"/>
            <w:vAlign w:val="center"/>
          </w:tcPr>
          <w:p w14:paraId="0EFA2A2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干熄焦</w:t>
            </w:r>
          </w:p>
        </w:tc>
        <w:tc>
          <w:tcPr>
            <w:tcW w:w="363" w:type="pct"/>
            <w:vAlign w:val="center"/>
          </w:tcPr>
          <w:p w14:paraId="34397290">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其他生产设施</w:t>
            </w:r>
          </w:p>
        </w:tc>
      </w:tr>
      <w:tr w14:paraId="3908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Merge w:val="continue"/>
            <w:vAlign w:val="center"/>
          </w:tcPr>
          <w:p w14:paraId="22A09C1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p>
        </w:tc>
        <w:tc>
          <w:tcPr>
            <w:tcW w:w="323" w:type="pct"/>
            <w:vAlign w:val="center"/>
          </w:tcPr>
          <w:p w14:paraId="43296443">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颗粒物</w:t>
            </w:r>
          </w:p>
        </w:tc>
        <w:tc>
          <w:tcPr>
            <w:tcW w:w="323" w:type="pct"/>
            <w:vAlign w:val="center"/>
          </w:tcPr>
          <w:p w14:paraId="2EC5DFFA">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二氧化硫</w:t>
            </w:r>
          </w:p>
        </w:tc>
        <w:tc>
          <w:tcPr>
            <w:tcW w:w="323" w:type="pct"/>
            <w:vAlign w:val="center"/>
          </w:tcPr>
          <w:p w14:paraId="2AAC5AA6">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氮氧化物</w:t>
            </w:r>
          </w:p>
        </w:tc>
        <w:tc>
          <w:tcPr>
            <w:tcW w:w="323" w:type="pct"/>
            <w:vAlign w:val="center"/>
          </w:tcPr>
          <w:p w14:paraId="4B372F6A">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非甲烷总烃</w:t>
            </w:r>
          </w:p>
        </w:tc>
        <w:tc>
          <w:tcPr>
            <w:tcW w:w="409" w:type="pct"/>
            <w:vAlign w:val="center"/>
          </w:tcPr>
          <w:p w14:paraId="638946C7">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氨</w:t>
            </w:r>
          </w:p>
        </w:tc>
        <w:tc>
          <w:tcPr>
            <w:tcW w:w="362" w:type="pct"/>
            <w:vAlign w:val="center"/>
          </w:tcPr>
          <w:p w14:paraId="5A8FF606">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颗粒物</w:t>
            </w:r>
          </w:p>
        </w:tc>
        <w:tc>
          <w:tcPr>
            <w:tcW w:w="362" w:type="pct"/>
            <w:vAlign w:val="center"/>
          </w:tcPr>
          <w:p w14:paraId="04EA991F">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二氧化硫</w:t>
            </w:r>
          </w:p>
        </w:tc>
        <w:tc>
          <w:tcPr>
            <w:tcW w:w="362" w:type="pct"/>
            <w:vAlign w:val="center"/>
          </w:tcPr>
          <w:p w14:paraId="576E6448">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颗粒物</w:t>
            </w:r>
          </w:p>
        </w:tc>
        <w:tc>
          <w:tcPr>
            <w:tcW w:w="362" w:type="pct"/>
            <w:vAlign w:val="center"/>
          </w:tcPr>
          <w:p w14:paraId="5729BDB5">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二氧化硫</w:t>
            </w:r>
          </w:p>
        </w:tc>
        <w:tc>
          <w:tcPr>
            <w:tcW w:w="362" w:type="pct"/>
            <w:vAlign w:val="center"/>
          </w:tcPr>
          <w:p w14:paraId="3C52346B">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颗粒物</w:t>
            </w:r>
          </w:p>
        </w:tc>
        <w:tc>
          <w:tcPr>
            <w:tcW w:w="362" w:type="pct"/>
            <w:vAlign w:val="center"/>
          </w:tcPr>
          <w:p w14:paraId="264EC7CB">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二氧化硫</w:t>
            </w:r>
          </w:p>
        </w:tc>
        <w:tc>
          <w:tcPr>
            <w:tcW w:w="363" w:type="pct"/>
            <w:vAlign w:val="center"/>
          </w:tcPr>
          <w:p w14:paraId="77673F80">
            <w:pPr>
              <w:keepNext w:val="0"/>
              <w:keepLines w:val="0"/>
              <w:widowControl/>
              <w:suppressLineNumbers w:val="0"/>
              <w:spacing w:before="0" w:beforeAutospacing="0" w:after="0" w:afterAutospacing="0"/>
              <w:ind w:left="-84" w:leftChars="-35" w:right="-84" w:rightChars="-35"/>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颗粒物</w:t>
            </w:r>
          </w:p>
        </w:tc>
      </w:tr>
      <w:tr w14:paraId="352A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Align w:val="center"/>
          </w:tcPr>
          <w:p w14:paraId="37B1419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国家标准（GB16171.1-2024）</w:t>
            </w:r>
          </w:p>
        </w:tc>
        <w:tc>
          <w:tcPr>
            <w:tcW w:w="323" w:type="pct"/>
            <w:vAlign w:val="center"/>
          </w:tcPr>
          <w:p w14:paraId="62AD98F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15</w:t>
            </w:r>
          </w:p>
        </w:tc>
        <w:tc>
          <w:tcPr>
            <w:tcW w:w="323" w:type="pct"/>
            <w:vAlign w:val="center"/>
          </w:tcPr>
          <w:p w14:paraId="2C057CB3">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23" w:type="pct"/>
            <w:vAlign w:val="center"/>
          </w:tcPr>
          <w:p w14:paraId="6BE6939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150</w:t>
            </w:r>
          </w:p>
        </w:tc>
        <w:tc>
          <w:tcPr>
            <w:tcW w:w="323" w:type="pct"/>
            <w:vAlign w:val="center"/>
          </w:tcPr>
          <w:p w14:paraId="485C835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100</w:t>
            </w:r>
          </w:p>
        </w:tc>
        <w:tc>
          <w:tcPr>
            <w:tcW w:w="409" w:type="pct"/>
            <w:vAlign w:val="center"/>
          </w:tcPr>
          <w:p w14:paraId="4C101B4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8</w:t>
            </w:r>
          </w:p>
        </w:tc>
        <w:tc>
          <w:tcPr>
            <w:tcW w:w="362" w:type="pct"/>
            <w:vAlign w:val="center"/>
          </w:tcPr>
          <w:p w14:paraId="45BF09F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62" w:type="pct"/>
            <w:vAlign w:val="center"/>
          </w:tcPr>
          <w:p w14:paraId="5F369E2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70</w:t>
            </w:r>
          </w:p>
        </w:tc>
        <w:tc>
          <w:tcPr>
            <w:tcW w:w="362" w:type="pct"/>
            <w:vAlign w:val="center"/>
          </w:tcPr>
          <w:p w14:paraId="5D94433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62" w:type="pct"/>
            <w:vAlign w:val="center"/>
          </w:tcPr>
          <w:p w14:paraId="1B465B9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62" w:type="pct"/>
            <w:vAlign w:val="center"/>
          </w:tcPr>
          <w:p w14:paraId="4CB603E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62" w:type="pct"/>
            <w:vAlign w:val="center"/>
          </w:tcPr>
          <w:p w14:paraId="48D332D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80</w:t>
            </w:r>
          </w:p>
        </w:tc>
        <w:tc>
          <w:tcPr>
            <w:tcW w:w="363" w:type="pct"/>
            <w:vAlign w:val="center"/>
          </w:tcPr>
          <w:p w14:paraId="6338A96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15</w:t>
            </w:r>
          </w:p>
        </w:tc>
      </w:tr>
      <w:tr w14:paraId="7C11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Align w:val="center"/>
          </w:tcPr>
          <w:p w14:paraId="211F707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河北省标准（DB13/2863—2018）</w:t>
            </w:r>
          </w:p>
        </w:tc>
        <w:tc>
          <w:tcPr>
            <w:tcW w:w="323" w:type="pct"/>
            <w:vAlign w:val="center"/>
          </w:tcPr>
          <w:p w14:paraId="0C5971B3">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23" w:type="pct"/>
            <w:vAlign w:val="center"/>
          </w:tcPr>
          <w:p w14:paraId="0C869BD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23" w:type="pct"/>
            <w:vAlign w:val="center"/>
          </w:tcPr>
          <w:p w14:paraId="19620AD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130</w:t>
            </w:r>
          </w:p>
        </w:tc>
        <w:tc>
          <w:tcPr>
            <w:tcW w:w="323" w:type="pct"/>
            <w:vAlign w:val="center"/>
          </w:tcPr>
          <w:p w14:paraId="2AD1983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w:t>
            </w:r>
          </w:p>
        </w:tc>
        <w:tc>
          <w:tcPr>
            <w:tcW w:w="409" w:type="pct"/>
            <w:vAlign w:val="center"/>
          </w:tcPr>
          <w:p w14:paraId="6E0EEBB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w:t>
            </w:r>
          </w:p>
        </w:tc>
        <w:tc>
          <w:tcPr>
            <w:tcW w:w="362" w:type="pct"/>
            <w:vAlign w:val="center"/>
          </w:tcPr>
          <w:p w14:paraId="1EF1943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42B2B26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70</w:t>
            </w:r>
          </w:p>
        </w:tc>
        <w:tc>
          <w:tcPr>
            <w:tcW w:w="362" w:type="pct"/>
            <w:vAlign w:val="center"/>
          </w:tcPr>
          <w:p w14:paraId="601719F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718E86F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62" w:type="pct"/>
            <w:vAlign w:val="center"/>
          </w:tcPr>
          <w:p w14:paraId="706B1B2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5DB6913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80</w:t>
            </w:r>
          </w:p>
        </w:tc>
        <w:tc>
          <w:tcPr>
            <w:tcW w:w="363" w:type="pct"/>
            <w:vAlign w:val="center"/>
          </w:tcPr>
          <w:p w14:paraId="0918EC3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r>
      <w:tr w14:paraId="7BD7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Align w:val="center"/>
          </w:tcPr>
          <w:p w14:paraId="5653760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1"/>
                <w:szCs w:val="21"/>
              </w:rPr>
              <w:t>山东省标准（DB37/2376-2019）</w:t>
            </w:r>
          </w:p>
        </w:tc>
        <w:tc>
          <w:tcPr>
            <w:tcW w:w="323" w:type="pct"/>
            <w:vAlign w:val="center"/>
          </w:tcPr>
          <w:p w14:paraId="17728E2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10（5）</w:t>
            </w:r>
          </w:p>
        </w:tc>
        <w:tc>
          <w:tcPr>
            <w:tcW w:w="323" w:type="pct"/>
            <w:vAlign w:val="center"/>
          </w:tcPr>
          <w:p w14:paraId="6EBACA3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323" w:type="pct"/>
            <w:vAlign w:val="center"/>
          </w:tcPr>
          <w:p w14:paraId="72C795D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p w14:paraId="1005493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(50、100)</w:t>
            </w:r>
          </w:p>
        </w:tc>
        <w:tc>
          <w:tcPr>
            <w:tcW w:w="323" w:type="pct"/>
            <w:vAlign w:val="center"/>
          </w:tcPr>
          <w:p w14:paraId="2A4D9F2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w:t>
            </w:r>
          </w:p>
        </w:tc>
        <w:tc>
          <w:tcPr>
            <w:tcW w:w="409" w:type="pct"/>
            <w:vAlign w:val="center"/>
          </w:tcPr>
          <w:p w14:paraId="5A1290D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w:t>
            </w:r>
          </w:p>
        </w:tc>
        <w:tc>
          <w:tcPr>
            <w:tcW w:w="362" w:type="pct"/>
            <w:vAlign w:val="center"/>
          </w:tcPr>
          <w:p w14:paraId="313AB79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p w14:paraId="0502CE4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w:t>
            </w:r>
          </w:p>
        </w:tc>
        <w:tc>
          <w:tcPr>
            <w:tcW w:w="362" w:type="pct"/>
            <w:vAlign w:val="center"/>
          </w:tcPr>
          <w:p w14:paraId="2323C84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p w14:paraId="13EBD7F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(35)</w:t>
            </w:r>
          </w:p>
        </w:tc>
        <w:tc>
          <w:tcPr>
            <w:tcW w:w="362" w:type="pct"/>
            <w:vAlign w:val="center"/>
          </w:tcPr>
          <w:p w14:paraId="0BD0E80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p w14:paraId="636A123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w:t>
            </w:r>
          </w:p>
        </w:tc>
        <w:tc>
          <w:tcPr>
            <w:tcW w:w="362" w:type="pct"/>
            <w:vAlign w:val="center"/>
          </w:tcPr>
          <w:p w14:paraId="0127A25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362" w:type="pct"/>
            <w:vAlign w:val="center"/>
          </w:tcPr>
          <w:p w14:paraId="27DC9D6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p w14:paraId="4A82AE2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w:t>
            </w:r>
          </w:p>
        </w:tc>
        <w:tc>
          <w:tcPr>
            <w:tcW w:w="362" w:type="pct"/>
            <w:vAlign w:val="center"/>
          </w:tcPr>
          <w:p w14:paraId="5C81F09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p w14:paraId="26D76B1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(35)</w:t>
            </w:r>
          </w:p>
        </w:tc>
        <w:tc>
          <w:tcPr>
            <w:tcW w:w="363" w:type="pct"/>
            <w:vAlign w:val="center"/>
          </w:tcPr>
          <w:p w14:paraId="7267CD5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p w14:paraId="3CAEDF4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w:t>
            </w:r>
          </w:p>
        </w:tc>
      </w:tr>
      <w:tr w14:paraId="7CA9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Align w:val="center"/>
          </w:tcPr>
          <w:p w14:paraId="6C4F207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天津市标准（DB12/1120-2022）</w:t>
            </w:r>
          </w:p>
        </w:tc>
        <w:tc>
          <w:tcPr>
            <w:tcW w:w="323" w:type="pct"/>
            <w:vAlign w:val="center"/>
          </w:tcPr>
          <w:p w14:paraId="4E1D5F33">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23" w:type="pct"/>
            <w:vAlign w:val="center"/>
          </w:tcPr>
          <w:p w14:paraId="5F0CEE9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23" w:type="pct"/>
            <w:vAlign w:val="center"/>
          </w:tcPr>
          <w:p w14:paraId="3AA3852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150</w:t>
            </w:r>
          </w:p>
        </w:tc>
        <w:tc>
          <w:tcPr>
            <w:tcW w:w="323" w:type="pct"/>
            <w:vAlign w:val="center"/>
          </w:tcPr>
          <w:p w14:paraId="7D75424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50</w:t>
            </w:r>
          </w:p>
        </w:tc>
        <w:tc>
          <w:tcPr>
            <w:tcW w:w="409" w:type="pct"/>
            <w:vAlign w:val="center"/>
          </w:tcPr>
          <w:p w14:paraId="5EF260E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8</w:t>
            </w:r>
          </w:p>
        </w:tc>
        <w:tc>
          <w:tcPr>
            <w:tcW w:w="362" w:type="pct"/>
            <w:vAlign w:val="center"/>
          </w:tcPr>
          <w:p w14:paraId="655BD27B">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59F707A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70</w:t>
            </w:r>
          </w:p>
        </w:tc>
        <w:tc>
          <w:tcPr>
            <w:tcW w:w="362" w:type="pct"/>
            <w:vAlign w:val="center"/>
          </w:tcPr>
          <w:p w14:paraId="1D95579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6C9FED5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62" w:type="pct"/>
            <w:vAlign w:val="center"/>
          </w:tcPr>
          <w:p w14:paraId="419E6A5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2D7E747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50</w:t>
            </w:r>
          </w:p>
        </w:tc>
        <w:tc>
          <w:tcPr>
            <w:tcW w:w="363" w:type="pct"/>
            <w:vAlign w:val="center"/>
          </w:tcPr>
          <w:p w14:paraId="674C3D7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r>
      <w:tr w14:paraId="4A2B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Align w:val="center"/>
          </w:tcPr>
          <w:p w14:paraId="0F97FB2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超低意见</w:t>
            </w:r>
          </w:p>
        </w:tc>
        <w:tc>
          <w:tcPr>
            <w:tcW w:w="323" w:type="pct"/>
            <w:vAlign w:val="center"/>
          </w:tcPr>
          <w:p w14:paraId="25D4370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23" w:type="pct"/>
            <w:vAlign w:val="center"/>
          </w:tcPr>
          <w:p w14:paraId="01799CF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23" w:type="pct"/>
            <w:vAlign w:val="center"/>
          </w:tcPr>
          <w:p w14:paraId="7A84739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150</w:t>
            </w:r>
          </w:p>
        </w:tc>
        <w:tc>
          <w:tcPr>
            <w:tcW w:w="323" w:type="pct"/>
            <w:vAlign w:val="center"/>
          </w:tcPr>
          <w:p w14:paraId="49CB15A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100</w:t>
            </w:r>
          </w:p>
        </w:tc>
        <w:tc>
          <w:tcPr>
            <w:tcW w:w="409" w:type="pct"/>
            <w:vAlign w:val="center"/>
          </w:tcPr>
          <w:p w14:paraId="56AA340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8</w:t>
            </w:r>
          </w:p>
        </w:tc>
        <w:tc>
          <w:tcPr>
            <w:tcW w:w="362" w:type="pct"/>
            <w:vAlign w:val="center"/>
          </w:tcPr>
          <w:p w14:paraId="61E357A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76FE718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70</w:t>
            </w:r>
          </w:p>
        </w:tc>
        <w:tc>
          <w:tcPr>
            <w:tcW w:w="362" w:type="pct"/>
            <w:vAlign w:val="center"/>
          </w:tcPr>
          <w:p w14:paraId="2FA0CAE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544E1E2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362" w:type="pct"/>
            <w:vAlign w:val="center"/>
          </w:tcPr>
          <w:p w14:paraId="2CE6E14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362" w:type="pct"/>
            <w:vAlign w:val="center"/>
          </w:tcPr>
          <w:p w14:paraId="128B7924">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50</w:t>
            </w:r>
          </w:p>
        </w:tc>
        <w:tc>
          <w:tcPr>
            <w:tcW w:w="363" w:type="pct"/>
            <w:vAlign w:val="center"/>
          </w:tcPr>
          <w:p w14:paraId="5B6275E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10</w:t>
            </w:r>
          </w:p>
        </w:tc>
      </w:tr>
    </w:tbl>
    <w:p w14:paraId="7AC6F942">
      <w:pPr>
        <w:pStyle w:val="13"/>
        <w:spacing w:before="156" w:beforeLines="50" w:line="360" w:lineRule="auto"/>
        <w:ind w:firstLine="482"/>
        <w:jc w:val="both"/>
        <w:rPr>
          <w:rFonts w:ascii="Times New Roman" w:hAnsi="Times New Roman"/>
        </w:rPr>
      </w:pPr>
      <w:r>
        <w:rPr>
          <w:rFonts w:ascii="Times New Roman" w:hAnsi="Times New Roman"/>
        </w:rPr>
        <w:t>河北、天津排放标准中焦化工序三类常规大气污染物排放限值要求同《焦化超低意见》中限值浓度基本保持一致，</w:t>
      </w:r>
      <w:r>
        <w:rPr>
          <w:rFonts w:hint="eastAsia" w:ascii="Times New Roman" w:hAnsi="Times New Roman"/>
        </w:rPr>
        <w:t>其中</w:t>
      </w:r>
      <w:r>
        <w:rPr>
          <w:rFonts w:ascii="Times New Roman" w:hAnsi="Times New Roman"/>
        </w:rPr>
        <w:t>河北焦炉氮氧化物排放限值严于《焦化超低意见》。河北地标因早于《焦化超低意见》发布，在干熄焦二氧化硫上同其他地标存在差异。山东排放标准按核心控制区、重点控制区、一般控制区划定，核心控制区、重点控制区存在不同程度加严。</w:t>
      </w:r>
    </w:p>
    <w:p w14:paraId="61DC5A4C">
      <w:pPr>
        <w:rPr>
          <w:rFonts w:ascii="Times New Roman" w:hAnsi="Times New Roman" w:cs="Times New Roman"/>
          <w:b/>
          <w:bCs/>
          <w:szCs w:val="32"/>
        </w:rPr>
      </w:pPr>
      <w:r>
        <w:rPr>
          <w:rFonts w:ascii="Times New Roman" w:hAnsi="Times New Roman" w:cs="Times New Roman"/>
          <w:b/>
          <w:bCs/>
          <w:szCs w:val="32"/>
        </w:rPr>
        <w:br w:type="page"/>
      </w:r>
    </w:p>
    <w:p w14:paraId="0E56C7D0">
      <w:pPr>
        <w:spacing w:line="235" w:lineRule="auto"/>
        <w:jc w:val="center"/>
        <w:rPr>
          <w:rFonts w:ascii="Times New Roman" w:hAnsi="Times New Roman" w:cs="Times New Roman"/>
          <w:b/>
          <w:bCs/>
          <w:szCs w:val="32"/>
        </w:rPr>
      </w:pPr>
      <w:r>
        <w:rPr>
          <w:rFonts w:ascii="Times New Roman" w:hAnsi="Times New Roman" w:cs="Times New Roman"/>
          <w:b/>
          <w:bCs/>
          <w:szCs w:val="32"/>
        </w:rPr>
        <w:t>表4-</w:t>
      </w:r>
      <w:r>
        <w:rPr>
          <w:rFonts w:hint="eastAsia" w:ascii="Times New Roman" w:hAnsi="Times New Roman" w:cs="Times New Roman"/>
          <w:b/>
          <w:bCs/>
          <w:szCs w:val="32"/>
        </w:rPr>
        <w:t>8</w:t>
      </w:r>
      <w:r>
        <w:rPr>
          <w:rFonts w:ascii="Times New Roman" w:hAnsi="Times New Roman" w:cs="Times New Roman"/>
          <w:b/>
          <w:bCs/>
          <w:szCs w:val="32"/>
        </w:rPr>
        <w:t>-2  焦化煤精工序大气污染物排放相关标准比较（mg/m</w:t>
      </w:r>
      <w:r>
        <w:rPr>
          <w:rFonts w:ascii="Times New Roman" w:hAnsi="Times New Roman" w:cs="Times New Roman"/>
          <w:b/>
          <w:bCs/>
          <w:szCs w:val="32"/>
          <w:vertAlign w:val="superscript"/>
        </w:rPr>
        <w:t>3</w:t>
      </w:r>
      <w:r>
        <w:rPr>
          <w:rFonts w:ascii="Times New Roman" w:hAnsi="Times New Roman" w:cs="Times New Roman"/>
          <w:b/>
          <w:bCs/>
          <w:szCs w:val="32"/>
        </w:rPr>
        <w:t>）</w:t>
      </w:r>
    </w:p>
    <w:tbl>
      <w:tblPr>
        <w:tblStyle w:val="27"/>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201"/>
        <w:gridCol w:w="1299"/>
        <w:gridCol w:w="1250"/>
        <w:gridCol w:w="1280"/>
        <w:gridCol w:w="1310"/>
        <w:gridCol w:w="1160"/>
      </w:tblGrid>
      <w:tr w14:paraId="6931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17" w:type="dxa"/>
            <w:gridSpan w:val="2"/>
            <w:vAlign w:val="center"/>
          </w:tcPr>
          <w:p w14:paraId="77A1AF8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标准</w:t>
            </w:r>
          </w:p>
        </w:tc>
        <w:tc>
          <w:tcPr>
            <w:tcW w:w="1299" w:type="dxa"/>
            <w:vAlign w:val="center"/>
          </w:tcPr>
          <w:p w14:paraId="0844ADD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21"/>
                <w:szCs w:val="21"/>
              </w:rPr>
            </w:pPr>
            <w:r>
              <w:rPr>
                <w:rFonts w:hint="eastAsia" w:ascii="Times New Roman" w:hAnsi="Times New Roman" w:cs="Times New Roman"/>
                <w:sz w:val="21"/>
                <w:szCs w:val="21"/>
              </w:rPr>
              <w:t>国家标准（GB16171.1-2024）</w:t>
            </w:r>
          </w:p>
        </w:tc>
        <w:tc>
          <w:tcPr>
            <w:tcW w:w="1250" w:type="dxa"/>
            <w:vAlign w:val="center"/>
          </w:tcPr>
          <w:p w14:paraId="6909CD3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21"/>
                <w:szCs w:val="21"/>
              </w:rPr>
            </w:pPr>
            <w:r>
              <w:rPr>
                <w:rFonts w:hint="eastAsia" w:ascii="Times New Roman" w:hAnsi="Times New Roman" w:cs="Times New Roman"/>
                <w:sz w:val="21"/>
                <w:szCs w:val="21"/>
              </w:rPr>
              <w:t>河北省标准（DB13/2863-2018）</w:t>
            </w:r>
          </w:p>
        </w:tc>
        <w:tc>
          <w:tcPr>
            <w:tcW w:w="1280" w:type="dxa"/>
            <w:vAlign w:val="center"/>
          </w:tcPr>
          <w:p w14:paraId="3F7194E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21"/>
                <w:szCs w:val="21"/>
              </w:rPr>
            </w:pPr>
            <w:r>
              <w:rPr>
                <w:rFonts w:hint="eastAsia" w:ascii="Times New Roman" w:hAnsi="Times New Roman" w:cs="Times New Roman"/>
                <w:sz w:val="21"/>
                <w:szCs w:val="21"/>
              </w:rPr>
              <w:t>山东省标准（DB37/2376-2019）</w:t>
            </w:r>
          </w:p>
        </w:tc>
        <w:tc>
          <w:tcPr>
            <w:tcW w:w="1310" w:type="dxa"/>
            <w:vAlign w:val="center"/>
          </w:tcPr>
          <w:p w14:paraId="6F39172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21"/>
                <w:szCs w:val="21"/>
              </w:rPr>
            </w:pPr>
            <w:r>
              <w:rPr>
                <w:rFonts w:hint="eastAsia" w:ascii="Times New Roman" w:hAnsi="Times New Roman" w:cs="Times New Roman"/>
                <w:sz w:val="21"/>
                <w:szCs w:val="21"/>
              </w:rPr>
              <w:t>天津市标准（DB12/1120-2022）</w:t>
            </w:r>
          </w:p>
        </w:tc>
        <w:tc>
          <w:tcPr>
            <w:tcW w:w="1160" w:type="dxa"/>
            <w:vAlign w:val="center"/>
          </w:tcPr>
          <w:p w14:paraId="08DE751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21"/>
                <w:szCs w:val="21"/>
              </w:rPr>
            </w:pPr>
            <w:r>
              <w:rPr>
                <w:rFonts w:hint="eastAsia" w:ascii="Times New Roman" w:hAnsi="Times New Roman" w:cs="Times New Roman"/>
                <w:sz w:val="21"/>
                <w:szCs w:val="21"/>
              </w:rPr>
              <w:t>山西省标准（征求意见稿）</w:t>
            </w:r>
          </w:p>
        </w:tc>
      </w:tr>
      <w:tr w14:paraId="32C9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vAlign w:val="center"/>
          </w:tcPr>
          <w:p w14:paraId="00FB092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管式炉等燃用煤气的设施</w:t>
            </w:r>
          </w:p>
        </w:tc>
        <w:tc>
          <w:tcPr>
            <w:tcW w:w="1201" w:type="dxa"/>
            <w:vAlign w:val="center"/>
          </w:tcPr>
          <w:p w14:paraId="533B71A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颗粒物</w:t>
            </w:r>
          </w:p>
        </w:tc>
        <w:tc>
          <w:tcPr>
            <w:tcW w:w="1299" w:type="dxa"/>
            <w:vAlign w:val="center"/>
          </w:tcPr>
          <w:p w14:paraId="2831C4CA">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50" w:type="dxa"/>
            <w:shd w:val="clear" w:color="auto" w:fill="auto"/>
            <w:vAlign w:val="center"/>
          </w:tcPr>
          <w:p w14:paraId="4FD00EC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78C6753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3ED76C0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160" w:type="dxa"/>
            <w:shd w:val="clear" w:color="auto" w:fill="auto"/>
            <w:vAlign w:val="center"/>
          </w:tcPr>
          <w:p w14:paraId="6970AE53">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50A4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6419A5B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2DA0DFC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二氧化硫</w:t>
            </w:r>
          </w:p>
        </w:tc>
        <w:tc>
          <w:tcPr>
            <w:tcW w:w="1299" w:type="dxa"/>
            <w:vAlign w:val="center"/>
          </w:tcPr>
          <w:p w14:paraId="5397F68A">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c>
          <w:tcPr>
            <w:tcW w:w="1250" w:type="dxa"/>
            <w:shd w:val="clear" w:color="auto" w:fill="auto"/>
            <w:vAlign w:val="center"/>
          </w:tcPr>
          <w:p w14:paraId="12A238F3">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c>
          <w:tcPr>
            <w:tcW w:w="1280" w:type="dxa"/>
            <w:shd w:val="clear" w:color="auto" w:fill="auto"/>
            <w:vAlign w:val="center"/>
          </w:tcPr>
          <w:p w14:paraId="75BA96D1">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c>
          <w:tcPr>
            <w:tcW w:w="1310" w:type="dxa"/>
            <w:shd w:val="clear" w:color="auto" w:fill="auto"/>
            <w:vAlign w:val="center"/>
          </w:tcPr>
          <w:p w14:paraId="5952DA0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c>
          <w:tcPr>
            <w:tcW w:w="1160" w:type="dxa"/>
            <w:shd w:val="clear" w:color="auto" w:fill="auto"/>
            <w:vAlign w:val="center"/>
          </w:tcPr>
          <w:p w14:paraId="088D8EB2">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r>
      <w:tr w14:paraId="43F3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609FD11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0"/>
                <w:szCs w:val="20"/>
              </w:rPr>
            </w:pPr>
          </w:p>
        </w:tc>
        <w:tc>
          <w:tcPr>
            <w:tcW w:w="1201" w:type="dxa"/>
            <w:shd w:val="clear" w:color="auto" w:fill="auto"/>
            <w:vAlign w:val="center"/>
          </w:tcPr>
          <w:p w14:paraId="6FBBB50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氮氧化物</w:t>
            </w:r>
          </w:p>
        </w:tc>
        <w:tc>
          <w:tcPr>
            <w:tcW w:w="1299" w:type="dxa"/>
            <w:vAlign w:val="center"/>
          </w:tcPr>
          <w:p w14:paraId="2D0932E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0"/>
                <w:szCs w:val="20"/>
              </w:rPr>
            </w:pPr>
            <w:r>
              <w:rPr>
                <w:rFonts w:hint="eastAsia" w:ascii="Times New Roman" w:hAnsi="Times New Roman" w:cs="Times New Roman"/>
                <w:sz w:val="20"/>
                <w:szCs w:val="20"/>
              </w:rPr>
              <w:t>150</w:t>
            </w:r>
          </w:p>
        </w:tc>
        <w:tc>
          <w:tcPr>
            <w:tcW w:w="1250" w:type="dxa"/>
            <w:shd w:val="clear" w:color="auto" w:fill="auto"/>
            <w:vAlign w:val="center"/>
          </w:tcPr>
          <w:p w14:paraId="58D9A96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0"/>
                <w:szCs w:val="20"/>
              </w:rPr>
            </w:pPr>
            <w:r>
              <w:rPr>
                <w:rFonts w:hint="eastAsia" w:ascii="Times New Roman" w:hAnsi="Times New Roman" w:cs="Times New Roman"/>
                <w:sz w:val="20"/>
                <w:szCs w:val="20"/>
              </w:rPr>
              <w:t>150</w:t>
            </w:r>
          </w:p>
        </w:tc>
        <w:tc>
          <w:tcPr>
            <w:tcW w:w="1280" w:type="dxa"/>
            <w:shd w:val="clear" w:color="auto" w:fill="auto"/>
            <w:vAlign w:val="center"/>
          </w:tcPr>
          <w:p w14:paraId="6165831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0"/>
                <w:szCs w:val="20"/>
              </w:rPr>
            </w:pPr>
            <w:r>
              <w:rPr>
                <w:rFonts w:hint="eastAsia" w:ascii="Times New Roman" w:hAnsi="Times New Roman" w:cs="Times New Roman"/>
                <w:sz w:val="20"/>
                <w:szCs w:val="20"/>
              </w:rPr>
              <w:t>150</w:t>
            </w:r>
          </w:p>
        </w:tc>
        <w:tc>
          <w:tcPr>
            <w:tcW w:w="1310" w:type="dxa"/>
            <w:shd w:val="clear" w:color="auto" w:fill="auto"/>
            <w:vAlign w:val="center"/>
          </w:tcPr>
          <w:p w14:paraId="79DB9BCA">
            <w:pPr>
              <w:keepNext w:val="0"/>
              <w:keepLines w:val="0"/>
              <w:widowControl/>
              <w:suppressLineNumbers w:val="0"/>
              <w:spacing w:before="0" w:beforeAutospacing="0" w:after="0" w:afterAutospacing="0"/>
              <w:ind w:left="0" w:right="0"/>
              <w:jc w:val="center"/>
              <w:rPr>
                <w:rFonts w:hint="eastAsia" w:ascii="Times New Roman" w:hAnsi="Times New Roman" w:cs="Times New Roman"/>
                <w:sz w:val="20"/>
                <w:szCs w:val="20"/>
              </w:rPr>
            </w:pPr>
            <w:r>
              <w:rPr>
                <w:rFonts w:hint="eastAsia" w:ascii="Times New Roman" w:hAnsi="Times New Roman" w:cs="Times New Roman"/>
                <w:sz w:val="20"/>
                <w:szCs w:val="20"/>
              </w:rPr>
              <w:t>150</w:t>
            </w:r>
          </w:p>
        </w:tc>
        <w:tc>
          <w:tcPr>
            <w:tcW w:w="1160" w:type="dxa"/>
            <w:shd w:val="clear" w:color="auto" w:fill="auto"/>
            <w:vAlign w:val="center"/>
          </w:tcPr>
          <w:p w14:paraId="113171C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0"/>
                <w:szCs w:val="20"/>
              </w:rPr>
            </w:pPr>
            <w:r>
              <w:rPr>
                <w:rFonts w:hint="eastAsia" w:ascii="Times New Roman" w:hAnsi="Times New Roman" w:cs="Times New Roman"/>
                <w:sz w:val="20"/>
                <w:szCs w:val="20"/>
              </w:rPr>
              <w:t>150</w:t>
            </w:r>
          </w:p>
        </w:tc>
      </w:tr>
      <w:tr w14:paraId="1DB7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097BA8E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vAlign w:val="center"/>
          </w:tcPr>
          <w:p w14:paraId="51CBC18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氨</w:t>
            </w:r>
          </w:p>
        </w:tc>
        <w:tc>
          <w:tcPr>
            <w:tcW w:w="1299" w:type="dxa"/>
            <w:vAlign w:val="center"/>
          </w:tcPr>
          <w:p w14:paraId="1556DB0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250" w:type="dxa"/>
            <w:vAlign w:val="center"/>
          </w:tcPr>
          <w:p w14:paraId="2F6CB88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280" w:type="dxa"/>
            <w:vAlign w:val="center"/>
          </w:tcPr>
          <w:p w14:paraId="029FBCF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310" w:type="dxa"/>
            <w:vAlign w:val="center"/>
          </w:tcPr>
          <w:p w14:paraId="76B31A93">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8</w:t>
            </w:r>
          </w:p>
        </w:tc>
        <w:tc>
          <w:tcPr>
            <w:tcW w:w="1160" w:type="dxa"/>
            <w:vAlign w:val="center"/>
          </w:tcPr>
          <w:p w14:paraId="6983790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r>
      <w:tr w14:paraId="5716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116" w:type="dxa"/>
            <w:vMerge w:val="restart"/>
            <w:vAlign w:val="center"/>
          </w:tcPr>
          <w:p w14:paraId="5E4522F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硫铵结晶干燥</w:t>
            </w:r>
          </w:p>
        </w:tc>
        <w:tc>
          <w:tcPr>
            <w:tcW w:w="1201" w:type="dxa"/>
            <w:vAlign w:val="center"/>
          </w:tcPr>
          <w:p w14:paraId="5AF9F6E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颗粒物</w:t>
            </w:r>
          </w:p>
        </w:tc>
        <w:tc>
          <w:tcPr>
            <w:tcW w:w="1299" w:type="dxa"/>
            <w:vAlign w:val="center"/>
          </w:tcPr>
          <w:p w14:paraId="0384F86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c>
          <w:tcPr>
            <w:tcW w:w="1250" w:type="dxa"/>
            <w:vAlign w:val="center"/>
          </w:tcPr>
          <w:p w14:paraId="17200273">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227CF462">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3196E53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160" w:type="dxa"/>
            <w:shd w:val="clear" w:color="auto" w:fill="auto"/>
            <w:vAlign w:val="center"/>
          </w:tcPr>
          <w:p w14:paraId="5D8962B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1F6B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1F29132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vAlign w:val="center"/>
          </w:tcPr>
          <w:p w14:paraId="2DAD606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氨</w:t>
            </w:r>
          </w:p>
        </w:tc>
        <w:tc>
          <w:tcPr>
            <w:tcW w:w="1299" w:type="dxa"/>
            <w:vAlign w:val="center"/>
          </w:tcPr>
          <w:p w14:paraId="4A237DC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20</w:t>
            </w:r>
          </w:p>
        </w:tc>
        <w:tc>
          <w:tcPr>
            <w:tcW w:w="1250" w:type="dxa"/>
            <w:vAlign w:val="center"/>
          </w:tcPr>
          <w:p w14:paraId="42935F2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04A2C59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1138021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160" w:type="dxa"/>
            <w:shd w:val="clear" w:color="auto" w:fill="auto"/>
            <w:vAlign w:val="center"/>
          </w:tcPr>
          <w:p w14:paraId="6F27F533">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52F2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vAlign w:val="center"/>
          </w:tcPr>
          <w:p w14:paraId="31F1E14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冷鼓、库区焦油各类贮槽及装卸设施</w:t>
            </w:r>
          </w:p>
        </w:tc>
        <w:tc>
          <w:tcPr>
            <w:tcW w:w="1201" w:type="dxa"/>
            <w:shd w:val="clear" w:color="auto" w:fill="auto"/>
            <w:vAlign w:val="center"/>
          </w:tcPr>
          <w:p w14:paraId="544AE2EC">
            <w:pPr>
              <w:pStyle w:val="47"/>
              <w:keepNext w:val="0"/>
              <w:keepLines w:val="0"/>
              <w:widowControl/>
              <w:suppressLineNumbers w:val="0"/>
              <w:spacing w:before="0" w:beforeAutospacing="0" w:after="0" w:afterAutospacing="0"/>
              <w:ind w:left="0" w:right="0" w:firstLine="0" w:firstLineChars="0"/>
              <w:jc w:val="center"/>
              <w:rPr>
                <w:rFonts w:hint="eastAsia" w:ascii="Times New Roman"/>
                <w:sz w:val="18"/>
                <w:szCs w:val="18"/>
              </w:rPr>
            </w:pPr>
            <w:r>
              <w:rPr>
                <w:rFonts w:hint="eastAsia" w:ascii="Times New Roman"/>
                <w:szCs w:val="21"/>
              </w:rPr>
              <w:t>苯并[a]芘</w:t>
            </w:r>
            <w:r>
              <w:rPr>
                <w:rFonts w:hint="eastAsia" w:ascii="Times New Roman"/>
                <w:sz w:val="18"/>
                <w:szCs w:val="18"/>
              </w:rPr>
              <w:t>（μg/m</w:t>
            </w:r>
            <w:r>
              <w:rPr>
                <w:rFonts w:hint="eastAsia" w:ascii="Times New Roman"/>
                <w:sz w:val="18"/>
                <w:szCs w:val="18"/>
                <w:vertAlign w:val="superscript"/>
              </w:rPr>
              <w:t>3</w:t>
            </w:r>
            <w:r>
              <w:rPr>
                <w:rFonts w:hint="eastAsia" w:ascii="Times New Roman"/>
                <w:sz w:val="18"/>
                <w:szCs w:val="18"/>
              </w:rPr>
              <w:t>）</w:t>
            </w:r>
          </w:p>
        </w:tc>
        <w:tc>
          <w:tcPr>
            <w:tcW w:w="1299" w:type="dxa"/>
            <w:vAlign w:val="center"/>
          </w:tcPr>
          <w:p w14:paraId="76569BD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0.3</w:t>
            </w:r>
          </w:p>
        </w:tc>
        <w:tc>
          <w:tcPr>
            <w:tcW w:w="1250" w:type="dxa"/>
            <w:shd w:val="clear" w:color="auto" w:fill="auto"/>
            <w:vAlign w:val="center"/>
          </w:tcPr>
          <w:p w14:paraId="083328F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0.3</w:t>
            </w:r>
          </w:p>
        </w:tc>
        <w:tc>
          <w:tcPr>
            <w:tcW w:w="1280" w:type="dxa"/>
            <w:shd w:val="clear" w:color="auto" w:fill="auto"/>
            <w:vAlign w:val="center"/>
          </w:tcPr>
          <w:p w14:paraId="79616D1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0.3</w:t>
            </w:r>
          </w:p>
        </w:tc>
        <w:tc>
          <w:tcPr>
            <w:tcW w:w="1310" w:type="dxa"/>
            <w:shd w:val="clear" w:color="auto" w:fill="auto"/>
            <w:vAlign w:val="center"/>
          </w:tcPr>
          <w:p w14:paraId="58D378AB">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0.3</w:t>
            </w:r>
          </w:p>
        </w:tc>
        <w:tc>
          <w:tcPr>
            <w:tcW w:w="1160" w:type="dxa"/>
            <w:shd w:val="clear" w:color="auto" w:fill="auto"/>
            <w:vAlign w:val="center"/>
          </w:tcPr>
          <w:p w14:paraId="67F7C3EB">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0.3</w:t>
            </w:r>
          </w:p>
        </w:tc>
      </w:tr>
      <w:tr w14:paraId="56FE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373604E2">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291707DC">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r>
              <w:rPr>
                <w:rFonts w:hint="eastAsia" w:ascii="Times New Roman"/>
                <w:szCs w:val="21"/>
              </w:rPr>
              <w:t>氰化氢</w:t>
            </w:r>
          </w:p>
        </w:tc>
        <w:tc>
          <w:tcPr>
            <w:tcW w:w="1299" w:type="dxa"/>
            <w:vAlign w:val="center"/>
          </w:tcPr>
          <w:p w14:paraId="5BE4B4B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50" w:type="dxa"/>
            <w:shd w:val="clear" w:color="auto" w:fill="auto"/>
            <w:vAlign w:val="center"/>
          </w:tcPr>
          <w:p w14:paraId="4DD9833A">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601A75F2">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2467D67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160" w:type="dxa"/>
            <w:shd w:val="clear" w:color="auto" w:fill="auto"/>
            <w:vAlign w:val="center"/>
          </w:tcPr>
          <w:p w14:paraId="3E2F2BE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4916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1994847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5743F959">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酚类化合物</w:t>
            </w:r>
          </w:p>
        </w:tc>
        <w:tc>
          <w:tcPr>
            <w:tcW w:w="1299" w:type="dxa"/>
            <w:vAlign w:val="center"/>
          </w:tcPr>
          <w:p w14:paraId="48AF4C7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20</w:t>
            </w:r>
          </w:p>
        </w:tc>
        <w:tc>
          <w:tcPr>
            <w:tcW w:w="1250" w:type="dxa"/>
            <w:vAlign w:val="center"/>
          </w:tcPr>
          <w:p w14:paraId="11E9948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280" w:type="dxa"/>
            <w:shd w:val="clear" w:color="auto" w:fill="auto"/>
            <w:vAlign w:val="center"/>
          </w:tcPr>
          <w:p w14:paraId="335F049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310" w:type="dxa"/>
            <w:shd w:val="clear" w:color="auto" w:fill="auto"/>
            <w:vAlign w:val="center"/>
          </w:tcPr>
          <w:p w14:paraId="6B167F7B">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160" w:type="dxa"/>
            <w:shd w:val="clear" w:color="auto" w:fill="auto"/>
            <w:vAlign w:val="center"/>
          </w:tcPr>
          <w:p w14:paraId="441D14A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20</w:t>
            </w:r>
          </w:p>
        </w:tc>
      </w:tr>
      <w:tr w14:paraId="2806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69CF72BB">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405919BA">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非甲烷总烃</w:t>
            </w:r>
          </w:p>
        </w:tc>
        <w:tc>
          <w:tcPr>
            <w:tcW w:w="1299" w:type="dxa"/>
            <w:vAlign w:val="center"/>
          </w:tcPr>
          <w:p w14:paraId="4685A6E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250" w:type="dxa"/>
            <w:vAlign w:val="center"/>
          </w:tcPr>
          <w:p w14:paraId="32AF70F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280" w:type="dxa"/>
            <w:shd w:val="clear" w:color="auto" w:fill="auto"/>
            <w:vAlign w:val="center"/>
          </w:tcPr>
          <w:p w14:paraId="793B454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310" w:type="dxa"/>
            <w:shd w:val="clear" w:color="auto" w:fill="auto"/>
            <w:vAlign w:val="center"/>
          </w:tcPr>
          <w:p w14:paraId="523ED52B">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160" w:type="dxa"/>
            <w:shd w:val="clear" w:color="auto" w:fill="auto"/>
            <w:vAlign w:val="center"/>
          </w:tcPr>
          <w:p w14:paraId="3A56D808">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r>
      <w:tr w14:paraId="7920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764CC43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12B4370F">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r>
              <w:rPr>
                <w:rFonts w:hint="eastAsia" w:ascii="Times New Roman"/>
                <w:szCs w:val="21"/>
              </w:rPr>
              <w:t>氨</w:t>
            </w:r>
          </w:p>
        </w:tc>
        <w:tc>
          <w:tcPr>
            <w:tcW w:w="1299" w:type="dxa"/>
            <w:vAlign w:val="center"/>
          </w:tcPr>
          <w:p w14:paraId="4BE403C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20</w:t>
            </w:r>
          </w:p>
        </w:tc>
        <w:tc>
          <w:tcPr>
            <w:tcW w:w="1250" w:type="dxa"/>
            <w:vAlign w:val="center"/>
          </w:tcPr>
          <w:p w14:paraId="421F9DA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2374B62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72398EA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160" w:type="dxa"/>
            <w:shd w:val="clear" w:color="auto" w:fill="auto"/>
            <w:vAlign w:val="center"/>
          </w:tcPr>
          <w:p w14:paraId="6AB4A02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7664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42FB1F6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505FDB31">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r>
              <w:rPr>
                <w:rFonts w:hint="eastAsia" w:ascii="Times New Roman"/>
                <w:szCs w:val="21"/>
              </w:rPr>
              <w:t>硫化氢</w:t>
            </w:r>
          </w:p>
        </w:tc>
        <w:tc>
          <w:tcPr>
            <w:tcW w:w="1299" w:type="dxa"/>
            <w:vAlign w:val="center"/>
          </w:tcPr>
          <w:p w14:paraId="6D15862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c>
          <w:tcPr>
            <w:tcW w:w="1250" w:type="dxa"/>
            <w:vAlign w:val="center"/>
          </w:tcPr>
          <w:p w14:paraId="2C8BB3B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28A2CCA8">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57D91CD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160" w:type="dxa"/>
            <w:shd w:val="clear" w:color="auto" w:fill="auto"/>
            <w:vAlign w:val="center"/>
          </w:tcPr>
          <w:p w14:paraId="3C7517AA">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7CBE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vAlign w:val="center"/>
          </w:tcPr>
          <w:p w14:paraId="4A80918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苯贮槽及装卸设施</w:t>
            </w:r>
          </w:p>
        </w:tc>
        <w:tc>
          <w:tcPr>
            <w:tcW w:w="1201" w:type="dxa"/>
            <w:shd w:val="clear" w:color="auto" w:fill="auto"/>
            <w:vAlign w:val="center"/>
          </w:tcPr>
          <w:p w14:paraId="63DC8545">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r>
              <w:rPr>
                <w:rFonts w:hint="eastAsia" w:ascii="Times New Roman"/>
                <w:szCs w:val="21"/>
              </w:rPr>
              <w:t>苯</w:t>
            </w:r>
          </w:p>
        </w:tc>
        <w:tc>
          <w:tcPr>
            <w:tcW w:w="1299" w:type="dxa"/>
            <w:vAlign w:val="center"/>
          </w:tcPr>
          <w:p w14:paraId="3568306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1250" w:type="dxa"/>
            <w:shd w:val="clear" w:color="auto" w:fill="auto"/>
            <w:vAlign w:val="center"/>
          </w:tcPr>
          <w:p w14:paraId="0A732CD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1280" w:type="dxa"/>
            <w:shd w:val="clear" w:color="auto" w:fill="auto"/>
            <w:vAlign w:val="center"/>
          </w:tcPr>
          <w:p w14:paraId="521797E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1310" w:type="dxa"/>
            <w:shd w:val="clear" w:color="auto" w:fill="auto"/>
            <w:vAlign w:val="center"/>
          </w:tcPr>
          <w:p w14:paraId="7F172E31">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6</w:t>
            </w:r>
          </w:p>
        </w:tc>
        <w:tc>
          <w:tcPr>
            <w:tcW w:w="1160" w:type="dxa"/>
            <w:shd w:val="clear" w:color="auto" w:fill="auto"/>
            <w:vAlign w:val="center"/>
          </w:tcPr>
          <w:p w14:paraId="45C3CEE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4</w:t>
            </w:r>
          </w:p>
        </w:tc>
      </w:tr>
      <w:tr w14:paraId="2F6A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4EE2FBEB">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185303E9">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非甲烷总烃</w:t>
            </w:r>
          </w:p>
        </w:tc>
        <w:tc>
          <w:tcPr>
            <w:tcW w:w="1299" w:type="dxa"/>
            <w:vAlign w:val="center"/>
          </w:tcPr>
          <w:p w14:paraId="49B18F9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250" w:type="dxa"/>
            <w:shd w:val="clear" w:color="auto" w:fill="auto"/>
            <w:vAlign w:val="center"/>
          </w:tcPr>
          <w:p w14:paraId="49C1803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280" w:type="dxa"/>
            <w:shd w:val="clear" w:color="auto" w:fill="auto"/>
            <w:vAlign w:val="center"/>
          </w:tcPr>
          <w:p w14:paraId="67617B3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310" w:type="dxa"/>
            <w:shd w:val="clear" w:color="auto" w:fill="auto"/>
            <w:vAlign w:val="center"/>
          </w:tcPr>
          <w:p w14:paraId="1513285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160" w:type="dxa"/>
            <w:shd w:val="clear" w:color="auto" w:fill="auto"/>
            <w:vAlign w:val="center"/>
          </w:tcPr>
          <w:p w14:paraId="2F2882E2">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r>
      <w:tr w14:paraId="1C25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shd w:val="clear" w:color="auto" w:fill="auto"/>
            <w:vAlign w:val="center"/>
          </w:tcPr>
          <w:p w14:paraId="28C380A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脱硫制酸装置</w:t>
            </w:r>
          </w:p>
        </w:tc>
        <w:tc>
          <w:tcPr>
            <w:tcW w:w="1201" w:type="dxa"/>
            <w:shd w:val="clear" w:color="auto" w:fill="auto"/>
            <w:vAlign w:val="center"/>
          </w:tcPr>
          <w:p w14:paraId="6ACEB7F1">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二氧化硫</w:t>
            </w:r>
          </w:p>
        </w:tc>
        <w:tc>
          <w:tcPr>
            <w:tcW w:w="1299" w:type="dxa"/>
            <w:vAlign w:val="center"/>
          </w:tcPr>
          <w:p w14:paraId="2F81F71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100</w:t>
            </w:r>
          </w:p>
        </w:tc>
        <w:tc>
          <w:tcPr>
            <w:tcW w:w="1250" w:type="dxa"/>
            <w:vAlign w:val="center"/>
          </w:tcPr>
          <w:p w14:paraId="47E71CD1">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280" w:type="dxa"/>
            <w:shd w:val="clear" w:color="auto" w:fill="auto"/>
            <w:vAlign w:val="center"/>
          </w:tcPr>
          <w:p w14:paraId="6F23078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310" w:type="dxa"/>
            <w:shd w:val="clear" w:color="auto" w:fill="auto"/>
            <w:vAlign w:val="center"/>
          </w:tcPr>
          <w:p w14:paraId="0E2404F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160" w:type="dxa"/>
            <w:shd w:val="clear" w:color="auto" w:fill="auto"/>
            <w:vAlign w:val="center"/>
          </w:tcPr>
          <w:p w14:paraId="738919D8">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100</w:t>
            </w:r>
          </w:p>
        </w:tc>
      </w:tr>
      <w:tr w14:paraId="755F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71C3DBC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03D1F103">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氮氧化物（以NO</w:t>
            </w:r>
            <w:r>
              <w:rPr>
                <w:rFonts w:hint="eastAsia" w:ascii="Times New Roman"/>
                <w:szCs w:val="21"/>
                <w:vertAlign w:val="subscript"/>
              </w:rPr>
              <w:t>2</w:t>
            </w:r>
            <w:r>
              <w:rPr>
                <w:rFonts w:hint="eastAsia" w:ascii="Times New Roman"/>
                <w:szCs w:val="21"/>
              </w:rPr>
              <w:t>计）</w:t>
            </w:r>
          </w:p>
        </w:tc>
        <w:tc>
          <w:tcPr>
            <w:tcW w:w="1299" w:type="dxa"/>
            <w:vAlign w:val="center"/>
          </w:tcPr>
          <w:p w14:paraId="35A17FD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150</w:t>
            </w:r>
          </w:p>
        </w:tc>
        <w:tc>
          <w:tcPr>
            <w:tcW w:w="1250" w:type="dxa"/>
            <w:vAlign w:val="center"/>
          </w:tcPr>
          <w:p w14:paraId="16C3A2D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280" w:type="dxa"/>
            <w:shd w:val="clear" w:color="auto" w:fill="auto"/>
            <w:vAlign w:val="center"/>
          </w:tcPr>
          <w:p w14:paraId="47A3974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310" w:type="dxa"/>
            <w:shd w:val="clear" w:color="auto" w:fill="auto"/>
            <w:vAlign w:val="center"/>
          </w:tcPr>
          <w:p w14:paraId="43856F7B">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160" w:type="dxa"/>
            <w:shd w:val="clear" w:color="auto" w:fill="auto"/>
            <w:vAlign w:val="center"/>
          </w:tcPr>
          <w:p w14:paraId="4811F70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150</w:t>
            </w:r>
          </w:p>
        </w:tc>
      </w:tr>
      <w:tr w14:paraId="6FBF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7BBD2C42">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4AEDBE58">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硫酸雾</w:t>
            </w:r>
          </w:p>
        </w:tc>
        <w:tc>
          <w:tcPr>
            <w:tcW w:w="1299" w:type="dxa"/>
            <w:vAlign w:val="center"/>
          </w:tcPr>
          <w:p w14:paraId="3181885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w:t>
            </w:r>
          </w:p>
        </w:tc>
        <w:tc>
          <w:tcPr>
            <w:tcW w:w="1250" w:type="dxa"/>
            <w:vAlign w:val="center"/>
          </w:tcPr>
          <w:p w14:paraId="05AA05E3">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280" w:type="dxa"/>
            <w:shd w:val="clear" w:color="auto" w:fill="auto"/>
            <w:vAlign w:val="center"/>
          </w:tcPr>
          <w:p w14:paraId="64E32C3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310" w:type="dxa"/>
            <w:shd w:val="clear" w:color="auto" w:fill="auto"/>
            <w:vAlign w:val="center"/>
          </w:tcPr>
          <w:p w14:paraId="1EF0224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1160" w:type="dxa"/>
            <w:shd w:val="clear" w:color="auto" w:fill="auto"/>
            <w:vAlign w:val="center"/>
          </w:tcPr>
          <w:p w14:paraId="45EA1BD8">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w:t>
            </w:r>
          </w:p>
        </w:tc>
      </w:tr>
      <w:tr w14:paraId="7D9E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vAlign w:val="center"/>
          </w:tcPr>
          <w:p w14:paraId="7D47A7BC">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脱硫再生装置</w:t>
            </w:r>
          </w:p>
        </w:tc>
        <w:tc>
          <w:tcPr>
            <w:tcW w:w="1201" w:type="dxa"/>
            <w:shd w:val="clear" w:color="auto" w:fill="auto"/>
            <w:vAlign w:val="center"/>
          </w:tcPr>
          <w:p w14:paraId="20F16DDB">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氨</w:t>
            </w:r>
          </w:p>
        </w:tc>
        <w:tc>
          <w:tcPr>
            <w:tcW w:w="1299" w:type="dxa"/>
            <w:vAlign w:val="center"/>
          </w:tcPr>
          <w:p w14:paraId="437EC2B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20</w:t>
            </w:r>
          </w:p>
        </w:tc>
        <w:tc>
          <w:tcPr>
            <w:tcW w:w="1250" w:type="dxa"/>
            <w:vAlign w:val="center"/>
          </w:tcPr>
          <w:p w14:paraId="2DF215C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171AADB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3BF83E2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160" w:type="dxa"/>
            <w:shd w:val="clear" w:color="auto" w:fill="auto"/>
            <w:vAlign w:val="center"/>
          </w:tcPr>
          <w:p w14:paraId="720B5E8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7580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77363A09">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p>
        </w:tc>
        <w:tc>
          <w:tcPr>
            <w:tcW w:w="1201" w:type="dxa"/>
            <w:shd w:val="clear" w:color="auto" w:fill="auto"/>
            <w:vAlign w:val="center"/>
          </w:tcPr>
          <w:p w14:paraId="20111A4D">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硫化氢</w:t>
            </w:r>
          </w:p>
        </w:tc>
        <w:tc>
          <w:tcPr>
            <w:tcW w:w="1299" w:type="dxa"/>
            <w:vAlign w:val="center"/>
          </w:tcPr>
          <w:p w14:paraId="306B85B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c>
          <w:tcPr>
            <w:tcW w:w="1250" w:type="dxa"/>
            <w:vAlign w:val="center"/>
          </w:tcPr>
          <w:p w14:paraId="368C353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6260BEE1">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15BF50B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160" w:type="dxa"/>
            <w:shd w:val="clear" w:color="auto" w:fill="auto"/>
            <w:vAlign w:val="center"/>
          </w:tcPr>
          <w:p w14:paraId="13538DD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6DA6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vAlign w:val="center"/>
          </w:tcPr>
          <w:p w14:paraId="5F7FFC66">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r>
              <w:rPr>
                <w:rFonts w:hint="eastAsia" w:ascii="Times New Roman"/>
                <w:szCs w:val="21"/>
              </w:rPr>
              <w:t>生产废水处理设施</w:t>
            </w:r>
          </w:p>
        </w:tc>
        <w:tc>
          <w:tcPr>
            <w:tcW w:w="1201" w:type="dxa"/>
            <w:shd w:val="clear" w:color="auto" w:fill="auto"/>
            <w:vAlign w:val="center"/>
          </w:tcPr>
          <w:p w14:paraId="03102328">
            <w:pPr>
              <w:pStyle w:val="47"/>
              <w:keepNext w:val="0"/>
              <w:keepLines w:val="0"/>
              <w:widowControl/>
              <w:suppressLineNumbers w:val="0"/>
              <w:spacing w:before="0" w:beforeAutospacing="0" w:after="0" w:afterAutospacing="0"/>
              <w:ind w:left="-120" w:leftChars="-50" w:right="-120" w:rightChars="-50" w:firstLine="0" w:firstLineChars="0"/>
              <w:jc w:val="center"/>
              <w:rPr>
                <w:rFonts w:hint="eastAsia" w:ascii="Times New Roman"/>
                <w:szCs w:val="21"/>
              </w:rPr>
            </w:pPr>
            <w:r>
              <w:rPr>
                <w:rFonts w:hint="eastAsia" w:ascii="Times New Roman"/>
                <w:szCs w:val="21"/>
              </w:rPr>
              <w:t>非甲烷总烃</w:t>
            </w:r>
          </w:p>
        </w:tc>
        <w:tc>
          <w:tcPr>
            <w:tcW w:w="1299" w:type="dxa"/>
            <w:vAlign w:val="center"/>
          </w:tcPr>
          <w:p w14:paraId="5B71D0C6">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100</w:t>
            </w:r>
          </w:p>
        </w:tc>
        <w:tc>
          <w:tcPr>
            <w:tcW w:w="1250" w:type="dxa"/>
            <w:vAlign w:val="center"/>
          </w:tcPr>
          <w:p w14:paraId="49D10AA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280" w:type="dxa"/>
            <w:shd w:val="clear" w:color="auto" w:fill="auto"/>
            <w:vAlign w:val="center"/>
          </w:tcPr>
          <w:p w14:paraId="70D23D2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310" w:type="dxa"/>
            <w:vAlign w:val="center"/>
          </w:tcPr>
          <w:p w14:paraId="6BCA6AF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160" w:type="dxa"/>
            <w:vAlign w:val="center"/>
          </w:tcPr>
          <w:p w14:paraId="269A80DA">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100</w:t>
            </w:r>
          </w:p>
        </w:tc>
      </w:tr>
      <w:tr w14:paraId="314A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133E6AB1">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p>
        </w:tc>
        <w:tc>
          <w:tcPr>
            <w:tcW w:w="1201" w:type="dxa"/>
            <w:shd w:val="clear" w:color="auto" w:fill="auto"/>
            <w:vAlign w:val="center"/>
          </w:tcPr>
          <w:p w14:paraId="0C10D885">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r>
              <w:rPr>
                <w:rFonts w:hint="eastAsia" w:ascii="Times New Roman"/>
                <w:szCs w:val="21"/>
              </w:rPr>
              <w:t>氨</w:t>
            </w:r>
          </w:p>
        </w:tc>
        <w:tc>
          <w:tcPr>
            <w:tcW w:w="1299" w:type="dxa"/>
            <w:vAlign w:val="center"/>
          </w:tcPr>
          <w:p w14:paraId="5BFD892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20</w:t>
            </w:r>
          </w:p>
        </w:tc>
        <w:tc>
          <w:tcPr>
            <w:tcW w:w="1250" w:type="dxa"/>
            <w:vAlign w:val="center"/>
          </w:tcPr>
          <w:p w14:paraId="5731C280">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0D0EAB6F">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2E912258">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20</w:t>
            </w:r>
          </w:p>
        </w:tc>
        <w:tc>
          <w:tcPr>
            <w:tcW w:w="1160" w:type="dxa"/>
            <w:vAlign w:val="center"/>
          </w:tcPr>
          <w:p w14:paraId="17F95B3D">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r w14:paraId="12CC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68CB924E">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p>
        </w:tc>
        <w:tc>
          <w:tcPr>
            <w:tcW w:w="1201" w:type="dxa"/>
            <w:shd w:val="clear" w:color="auto" w:fill="auto"/>
            <w:vAlign w:val="center"/>
          </w:tcPr>
          <w:p w14:paraId="2B00CD9D">
            <w:pPr>
              <w:pStyle w:val="47"/>
              <w:keepNext w:val="0"/>
              <w:keepLines w:val="0"/>
              <w:widowControl/>
              <w:suppressLineNumbers w:val="0"/>
              <w:spacing w:before="0" w:beforeAutospacing="0" w:after="0" w:afterAutospacing="0"/>
              <w:ind w:left="0" w:right="0" w:firstLine="0" w:firstLineChars="0"/>
              <w:jc w:val="center"/>
              <w:rPr>
                <w:rFonts w:hint="eastAsia" w:ascii="Times New Roman"/>
                <w:szCs w:val="21"/>
              </w:rPr>
            </w:pPr>
            <w:r>
              <w:rPr>
                <w:rFonts w:hint="eastAsia" w:ascii="Times New Roman"/>
                <w:szCs w:val="21"/>
              </w:rPr>
              <w:t>硫化氢</w:t>
            </w:r>
          </w:p>
        </w:tc>
        <w:tc>
          <w:tcPr>
            <w:tcW w:w="1299" w:type="dxa"/>
            <w:vAlign w:val="center"/>
          </w:tcPr>
          <w:p w14:paraId="77B5C70A">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3.0</w:t>
            </w:r>
          </w:p>
        </w:tc>
        <w:tc>
          <w:tcPr>
            <w:tcW w:w="1250" w:type="dxa"/>
            <w:vAlign w:val="center"/>
          </w:tcPr>
          <w:p w14:paraId="5AD0D53E">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280" w:type="dxa"/>
            <w:shd w:val="clear" w:color="auto" w:fill="auto"/>
            <w:vAlign w:val="center"/>
          </w:tcPr>
          <w:p w14:paraId="6B930364">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310" w:type="dxa"/>
            <w:shd w:val="clear" w:color="auto" w:fill="auto"/>
            <w:vAlign w:val="center"/>
          </w:tcPr>
          <w:p w14:paraId="4E5AEDF2">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5.0</w:t>
            </w:r>
          </w:p>
        </w:tc>
        <w:tc>
          <w:tcPr>
            <w:tcW w:w="1160" w:type="dxa"/>
            <w:vAlign w:val="center"/>
          </w:tcPr>
          <w:p w14:paraId="76C92FA5">
            <w:pPr>
              <w:keepNext w:val="0"/>
              <w:keepLines w:val="0"/>
              <w:widowControl/>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r>
    </w:tbl>
    <w:p w14:paraId="7824ACD0">
      <w:pPr>
        <w:pStyle w:val="13"/>
        <w:spacing w:line="360" w:lineRule="auto"/>
        <w:ind w:firstLine="480" w:firstLineChars="200"/>
        <w:jc w:val="both"/>
        <w:rPr>
          <w:rFonts w:ascii="Times New Roman" w:hAnsi="Times New Roman"/>
        </w:rPr>
      </w:pPr>
      <w:r>
        <w:rPr>
          <w:rFonts w:hint="eastAsia" w:ascii="Times New Roman" w:hAnsi="Times New Roman"/>
        </w:rPr>
        <w:t>河北、山东、天津地标排放标准及山西地标（征求意见稿）中焦化煤精工序管式炉等燃用煤气的设施、硫铵结晶干燥、苯贮槽及装卸设施、脱硫再生装置等排口大气污染物排放限值要求基本完全相同，且管式炉等燃用煤气的设施排口大气污染物排放限值要求与《焦化超低意见》中限值浓度一致；冷鼓、库区焦油各类贮槽及装卸设施排口除山西征求意见稿中酚类化合物大气污染物限值为20mg/m</w:t>
      </w:r>
      <w:r>
        <w:rPr>
          <w:rFonts w:hint="eastAsia" w:ascii="Times New Roman" w:hAnsi="Times New Roman"/>
          <w:vertAlign w:val="superscript"/>
        </w:rPr>
        <w:t>3</w:t>
      </w:r>
      <w:r>
        <w:rPr>
          <w:rFonts w:hint="eastAsia" w:ascii="Times New Roman" w:hAnsi="Times New Roman"/>
        </w:rPr>
        <w:t>较低外，其他大气污染物排放限值河北、山东、天津地标要求完全相同；脱硫制酸装置排口仅国家标准和山西地标（征求意见稿）中规定了二氧化硫、氮氧化物及硫酸雾的排放限值，其他省市地标未提及；生产废水处理设施排口三个大气污染物排放限值河北、山东地标一致、要求最严，天津地标、山西地标（征求意见）和国标个别污染物浓度略高。</w:t>
      </w:r>
    </w:p>
    <w:p w14:paraId="4C77A1AD">
      <w:pPr>
        <w:pStyle w:val="13"/>
        <w:spacing w:line="360" w:lineRule="auto"/>
        <w:ind w:firstLine="480"/>
        <w:rPr>
          <w:rFonts w:ascii="Times New Roman" w:hAnsi="Times New Roman"/>
        </w:rPr>
      </w:pPr>
      <w:r>
        <w:rPr>
          <w:rFonts w:ascii="Times New Roman" w:hAnsi="Times New Roman"/>
        </w:rPr>
        <w:t>（3）炼铁工序</w:t>
      </w:r>
    </w:p>
    <w:p w14:paraId="18DF76B1">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表4-</w:t>
      </w:r>
      <w:r>
        <w:rPr>
          <w:rFonts w:hint="eastAsia" w:ascii="Times New Roman" w:hAnsi="Times New Roman" w:cs="Times New Roman"/>
          <w:b/>
          <w:bCs/>
          <w:color w:val="000000"/>
          <w:szCs w:val="32"/>
        </w:rPr>
        <w:t>9</w:t>
      </w:r>
      <w:r>
        <w:rPr>
          <w:rFonts w:ascii="Times New Roman" w:hAnsi="Times New Roman" w:cs="Times New Roman"/>
          <w:b/>
          <w:bCs/>
          <w:color w:val="000000"/>
          <w:szCs w:val="32"/>
        </w:rPr>
        <w:t xml:space="preserve">  炼铁工序大气污染物排放相关标准比较（mg/m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019"/>
        <w:gridCol w:w="1020"/>
        <w:gridCol w:w="1019"/>
        <w:gridCol w:w="1108"/>
        <w:gridCol w:w="981"/>
        <w:gridCol w:w="1486"/>
      </w:tblGrid>
      <w:tr w14:paraId="4EC8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830" w:type="dxa"/>
            <w:gridSpan w:val="2"/>
            <w:vMerge w:val="restart"/>
            <w:vAlign w:val="center"/>
          </w:tcPr>
          <w:p w14:paraId="78DCA7E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标准</w:t>
            </w:r>
          </w:p>
        </w:tc>
        <w:tc>
          <w:tcPr>
            <w:tcW w:w="3064" w:type="dxa"/>
            <w:gridSpan w:val="3"/>
            <w:vAlign w:val="center"/>
          </w:tcPr>
          <w:p w14:paraId="6A10FFA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热风炉烟气</w:t>
            </w:r>
          </w:p>
        </w:tc>
        <w:tc>
          <w:tcPr>
            <w:tcW w:w="955" w:type="dxa"/>
            <w:vAlign w:val="center"/>
          </w:tcPr>
          <w:p w14:paraId="1013DE8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高炉</w:t>
            </w:r>
          </w:p>
          <w:p w14:paraId="127271C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出铁场</w:t>
            </w:r>
          </w:p>
        </w:tc>
        <w:tc>
          <w:tcPr>
            <w:tcW w:w="1447" w:type="dxa"/>
            <w:vAlign w:val="center"/>
          </w:tcPr>
          <w:p w14:paraId="58C6E5B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原料系统、煤粉系统及其他生产设施</w:t>
            </w:r>
          </w:p>
        </w:tc>
      </w:tr>
      <w:tr w14:paraId="0C03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30" w:type="dxa"/>
            <w:gridSpan w:val="2"/>
            <w:vMerge w:val="continue"/>
            <w:vAlign w:val="center"/>
          </w:tcPr>
          <w:p w14:paraId="7DA3CA9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p>
        </w:tc>
        <w:tc>
          <w:tcPr>
            <w:tcW w:w="993" w:type="dxa"/>
            <w:vAlign w:val="center"/>
          </w:tcPr>
          <w:p w14:paraId="579C8B6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992" w:type="dxa"/>
            <w:vAlign w:val="center"/>
          </w:tcPr>
          <w:p w14:paraId="1ADFEBE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二氧化硫</w:t>
            </w:r>
          </w:p>
        </w:tc>
        <w:tc>
          <w:tcPr>
            <w:tcW w:w="1079" w:type="dxa"/>
            <w:vAlign w:val="center"/>
          </w:tcPr>
          <w:p w14:paraId="7663162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氮氧化物</w:t>
            </w:r>
          </w:p>
        </w:tc>
        <w:tc>
          <w:tcPr>
            <w:tcW w:w="955" w:type="dxa"/>
            <w:vAlign w:val="center"/>
          </w:tcPr>
          <w:p w14:paraId="4FFBC26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1447" w:type="dxa"/>
            <w:vAlign w:val="center"/>
          </w:tcPr>
          <w:p w14:paraId="0D7E97B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r>
      <w:tr w14:paraId="5753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0992914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国家标准（GB28663-2012）</w:t>
            </w:r>
          </w:p>
        </w:tc>
        <w:tc>
          <w:tcPr>
            <w:tcW w:w="992" w:type="dxa"/>
            <w:vAlign w:val="center"/>
          </w:tcPr>
          <w:p w14:paraId="499ADC5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特别排放</w:t>
            </w:r>
          </w:p>
          <w:p w14:paraId="2C46DAA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限值</w:t>
            </w:r>
          </w:p>
        </w:tc>
        <w:tc>
          <w:tcPr>
            <w:tcW w:w="993" w:type="dxa"/>
            <w:vAlign w:val="center"/>
          </w:tcPr>
          <w:p w14:paraId="64FA8FC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992" w:type="dxa"/>
            <w:vAlign w:val="center"/>
          </w:tcPr>
          <w:p w14:paraId="03C4668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w:t>
            </w:r>
          </w:p>
        </w:tc>
        <w:tc>
          <w:tcPr>
            <w:tcW w:w="1079" w:type="dxa"/>
            <w:vAlign w:val="center"/>
          </w:tcPr>
          <w:p w14:paraId="1FC4CD3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300</w:t>
            </w:r>
          </w:p>
        </w:tc>
        <w:tc>
          <w:tcPr>
            <w:tcW w:w="955" w:type="dxa"/>
            <w:vAlign w:val="center"/>
          </w:tcPr>
          <w:p w14:paraId="7181748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242F63E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2B08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0EF623B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河北省标准</w:t>
            </w:r>
          </w:p>
          <w:p w14:paraId="4F1B796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（DB13/2169—2018）</w:t>
            </w:r>
          </w:p>
        </w:tc>
        <w:tc>
          <w:tcPr>
            <w:tcW w:w="993" w:type="dxa"/>
            <w:vAlign w:val="center"/>
          </w:tcPr>
          <w:p w14:paraId="0FBDC06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3A22D69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079" w:type="dxa"/>
            <w:vAlign w:val="center"/>
          </w:tcPr>
          <w:p w14:paraId="3CE3CAA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955" w:type="dxa"/>
            <w:vAlign w:val="center"/>
          </w:tcPr>
          <w:p w14:paraId="2DDC1DC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0FEFB89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4A6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792766E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山东省标准</w:t>
            </w:r>
          </w:p>
          <w:p w14:paraId="1E0A086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（DB37/990-2019）</w:t>
            </w:r>
          </w:p>
        </w:tc>
        <w:tc>
          <w:tcPr>
            <w:tcW w:w="993" w:type="dxa"/>
            <w:vAlign w:val="center"/>
          </w:tcPr>
          <w:p w14:paraId="39573E0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7411C4C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079" w:type="dxa"/>
            <w:vAlign w:val="center"/>
          </w:tcPr>
          <w:p w14:paraId="3091B26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955" w:type="dxa"/>
            <w:vAlign w:val="center"/>
          </w:tcPr>
          <w:p w14:paraId="449B7EA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2E0DAC8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6325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23AEBA2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河南省标准</w:t>
            </w:r>
          </w:p>
          <w:p w14:paraId="5CA4ABE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（DB41/1954-2020）</w:t>
            </w:r>
          </w:p>
        </w:tc>
        <w:tc>
          <w:tcPr>
            <w:tcW w:w="993" w:type="dxa"/>
            <w:vAlign w:val="center"/>
          </w:tcPr>
          <w:p w14:paraId="387ED13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4269C08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079" w:type="dxa"/>
            <w:vAlign w:val="center"/>
          </w:tcPr>
          <w:p w14:paraId="231A822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955" w:type="dxa"/>
            <w:vAlign w:val="center"/>
          </w:tcPr>
          <w:p w14:paraId="0CB345A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19554CD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174A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69C9C57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山西省标准</w:t>
            </w:r>
          </w:p>
          <w:p w14:paraId="36BC08D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（DB14/2249-2020）</w:t>
            </w:r>
          </w:p>
        </w:tc>
        <w:tc>
          <w:tcPr>
            <w:tcW w:w="993" w:type="dxa"/>
            <w:vAlign w:val="center"/>
          </w:tcPr>
          <w:p w14:paraId="6367674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0F22838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079" w:type="dxa"/>
            <w:vAlign w:val="center"/>
          </w:tcPr>
          <w:p w14:paraId="6179705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w:t>
            </w:r>
          </w:p>
        </w:tc>
        <w:tc>
          <w:tcPr>
            <w:tcW w:w="955" w:type="dxa"/>
            <w:vAlign w:val="center"/>
          </w:tcPr>
          <w:p w14:paraId="1D25112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4DE78B5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224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0D6F3DC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w:t>
            </w:r>
          </w:p>
          <w:p w14:paraId="4D07C8D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（DB12/1120-2022）</w:t>
            </w:r>
          </w:p>
        </w:tc>
        <w:tc>
          <w:tcPr>
            <w:tcW w:w="993" w:type="dxa"/>
            <w:vAlign w:val="center"/>
          </w:tcPr>
          <w:p w14:paraId="07AA70F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631402B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079" w:type="dxa"/>
            <w:vAlign w:val="center"/>
          </w:tcPr>
          <w:p w14:paraId="34A180E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w:t>
            </w:r>
          </w:p>
        </w:tc>
        <w:tc>
          <w:tcPr>
            <w:tcW w:w="955" w:type="dxa"/>
            <w:vAlign w:val="center"/>
          </w:tcPr>
          <w:p w14:paraId="46B9582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0C6DDC8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12F6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077330D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辽宁省标准</w:t>
            </w:r>
          </w:p>
          <w:p w14:paraId="55E075D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（DB21/4119-2025）</w:t>
            </w:r>
          </w:p>
        </w:tc>
        <w:tc>
          <w:tcPr>
            <w:tcW w:w="993" w:type="dxa"/>
            <w:vAlign w:val="center"/>
          </w:tcPr>
          <w:p w14:paraId="2DDD53B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727B4BF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079" w:type="dxa"/>
            <w:vAlign w:val="center"/>
          </w:tcPr>
          <w:p w14:paraId="5515FB0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w:t>
            </w:r>
          </w:p>
        </w:tc>
        <w:tc>
          <w:tcPr>
            <w:tcW w:w="955" w:type="dxa"/>
            <w:vAlign w:val="center"/>
          </w:tcPr>
          <w:p w14:paraId="0DDA272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21EBD17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64B5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2649C47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超低意见</w:t>
            </w:r>
          </w:p>
        </w:tc>
        <w:tc>
          <w:tcPr>
            <w:tcW w:w="993" w:type="dxa"/>
            <w:vAlign w:val="center"/>
          </w:tcPr>
          <w:p w14:paraId="6458DA3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92" w:type="dxa"/>
            <w:vAlign w:val="center"/>
          </w:tcPr>
          <w:p w14:paraId="3C9CD7D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1079" w:type="dxa"/>
            <w:vAlign w:val="center"/>
          </w:tcPr>
          <w:p w14:paraId="7C8E4FB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w:t>
            </w:r>
          </w:p>
        </w:tc>
        <w:tc>
          <w:tcPr>
            <w:tcW w:w="955" w:type="dxa"/>
            <w:vAlign w:val="center"/>
          </w:tcPr>
          <w:p w14:paraId="65AC5F1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3114BE3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bl>
    <w:p w14:paraId="51376021">
      <w:pPr>
        <w:pStyle w:val="13"/>
        <w:spacing w:line="360" w:lineRule="auto"/>
        <w:ind w:firstLine="480"/>
        <w:jc w:val="both"/>
        <w:rPr>
          <w:rFonts w:ascii="Times New Roman" w:hAnsi="Times New Roman"/>
        </w:rPr>
      </w:pPr>
      <w:r>
        <w:rPr>
          <w:rFonts w:ascii="Times New Roman" w:hAnsi="Times New Roman"/>
        </w:rPr>
        <w:t>河北、山东、河南、</w:t>
      </w:r>
      <w:r>
        <w:rPr>
          <w:rFonts w:hint="eastAsia" w:ascii="Times New Roman" w:hAnsi="Times New Roman"/>
        </w:rPr>
        <w:t>山西、</w:t>
      </w:r>
      <w:r>
        <w:rPr>
          <w:rFonts w:ascii="Times New Roman" w:hAnsi="Times New Roman"/>
        </w:rPr>
        <w:t>天津</w:t>
      </w:r>
      <w:r>
        <w:rPr>
          <w:rFonts w:hint="eastAsia" w:ascii="Times New Roman" w:hAnsi="Times New Roman"/>
        </w:rPr>
        <w:t>、辽宁六</w:t>
      </w:r>
      <w:r>
        <w:rPr>
          <w:rFonts w:ascii="Times New Roman" w:hAnsi="Times New Roman"/>
        </w:rPr>
        <w:t>个省市钢铁排放标准中炼铁工序</w:t>
      </w:r>
      <w:r>
        <w:rPr>
          <w:rFonts w:hint="eastAsia" w:ascii="Times New Roman" w:hAnsi="Times New Roman"/>
        </w:rPr>
        <w:t>颗粒物、二氧化硫</w:t>
      </w:r>
      <w:r>
        <w:rPr>
          <w:rFonts w:ascii="Times New Roman" w:hAnsi="Times New Roman"/>
        </w:rPr>
        <w:t>排放限值要求同《</w:t>
      </w:r>
      <w:r>
        <w:rPr>
          <w:rFonts w:hint="eastAsia" w:ascii="Times New Roman" w:hAnsi="Times New Roman"/>
        </w:rPr>
        <w:t>超低</w:t>
      </w:r>
      <w:r>
        <w:rPr>
          <w:rFonts w:ascii="Times New Roman" w:hAnsi="Times New Roman"/>
        </w:rPr>
        <w:t>意见》中限值浓度保持一致</w:t>
      </w:r>
      <w:r>
        <w:rPr>
          <w:rFonts w:hint="eastAsia" w:ascii="Times New Roman" w:hAnsi="Times New Roman"/>
        </w:rPr>
        <w:t>；</w:t>
      </w:r>
      <w:r>
        <w:rPr>
          <w:rFonts w:ascii="Times New Roman" w:hAnsi="Times New Roman"/>
        </w:rPr>
        <w:t>山西</w:t>
      </w:r>
      <w:r>
        <w:rPr>
          <w:rFonts w:hint="eastAsia" w:ascii="Times New Roman" w:hAnsi="Times New Roman"/>
        </w:rPr>
        <w:t>、天津、辽宁</w:t>
      </w:r>
      <w:r>
        <w:rPr>
          <w:rFonts w:ascii="Times New Roman" w:hAnsi="Times New Roman"/>
        </w:rPr>
        <w:t>地标热风炉NO</w:t>
      </w:r>
      <w:r>
        <w:rPr>
          <w:rFonts w:ascii="Times New Roman" w:hAnsi="Times New Roman"/>
          <w:vertAlign w:val="subscript"/>
        </w:rPr>
        <w:t>X</w:t>
      </w:r>
      <w:r>
        <w:rPr>
          <w:rFonts w:ascii="Times New Roman" w:hAnsi="Times New Roman"/>
        </w:rPr>
        <w:t>同《</w:t>
      </w:r>
      <w:r>
        <w:rPr>
          <w:rFonts w:hint="eastAsia" w:ascii="Times New Roman" w:hAnsi="Times New Roman"/>
        </w:rPr>
        <w:t>超低</w:t>
      </w:r>
      <w:r>
        <w:rPr>
          <w:rFonts w:ascii="Times New Roman" w:hAnsi="Times New Roman"/>
        </w:rPr>
        <w:t>意见》保持一致，</w:t>
      </w:r>
      <w:r>
        <w:rPr>
          <w:rFonts w:hint="eastAsia" w:ascii="Times New Roman" w:hAnsi="Times New Roman"/>
        </w:rPr>
        <w:t>河北、山东、河南</w:t>
      </w:r>
      <w:r>
        <w:rPr>
          <w:rFonts w:ascii="Times New Roman" w:hAnsi="Times New Roman"/>
        </w:rPr>
        <w:t>地标进行了加严。企业通过采取低氮燃烧技术、使用低氮燃料，控制风温过高产生的热力型氮氧化物，</w:t>
      </w:r>
      <w:r>
        <w:rPr>
          <w:rFonts w:hint="eastAsia" w:ascii="Times New Roman" w:hAnsi="Times New Roman"/>
        </w:rPr>
        <w:t>可对标2</w:t>
      </w:r>
      <w:r>
        <w:rPr>
          <w:rFonts w:ascii="Times New Roman" w:hAnsi="Times New Roman"/>
        </w:rPr>
        <w:t>00mg/m</w:t>
      </w:r>
      <w:r>
        <w:rPr>
          <w:rFonts w:ascii="Times New Roman" w:hAnsi="Times New Roman"/>
          <w:vertAlign w:val="superscript"/>
        </w:rPr>
        <w:t>3</w:t>
      </w:r>
      <w:r>
        <w:rPr>
          <w:rFonts w:ascii="Times New Roman" w:hAnsi="Times New Roman"/>
        </w:rPr>
        <w:t>实现达标排放要求</w:t>
      </w:r>
      <w:r>
        <w:rPr>
          <w:rFonts w:hint="eastAsia" w:ascii="Times New Roman" w:hAnsi="Times New Roman"/>
        </w:rPr>
        <w:t>，对于加严的排放限值，需要增加脱硝设施</w:t>
      </w:r>
      <w:r>
        <w:rPr>
          <w:rFonts w:ascii="Times New Roman" w:hAnsi="Times New Roman"/>
        </w:rPr>
        <w:t>。</w:t>
      </w:r>
    </w:p>
    <w:p w14:paraId="5559D0E5">
      <w:pPr>
        <w:rPr>
          <w:rFonts w:ascii="Times New Roman" w:hAnsi="Times New Roman" w:cs="Times New Roman"/>
          <w:szCs w:val="20"/>
        </w:rPr>
      </w:pPr>
      <w:r>
        <w:rPr>
          <w:rFonts w:ascii="Times New Roman" w:hAnsi="Times New Roman"/>
        </w:rPr>
        <w:br w:type="page"/>
      </w:r>
    </w:p>
    <w:p w14:paraId="0D540384">
      <w:pPr>
        <w:pStyle w:val="13"/>
        <w:spacing w:line="360" w:lineRule="auto"/>
        <w:ind w:firstLine="480"/>
        <w:rPr>
          <w:rFonts w:ascii="Times New Roman" w:hAnsi="Times New Roman"/>
        </w:rPr>
      </w:pPr>
      <w:r>
        <w:rPr>
          <w:rFonts w:ascii="Times New Roman" w:hAnsi="Times New Roman"/>
        </w:rPr>
        <w:t>（4）炼钢工序</w:t>
      </w:r>
    </w:p>
    <w:p w14:paraId="5193E3EE">
      <w:pPr>
        <w:spacing w:line="235" w:lineRule="auto"/>
        <w:jc w:val="center"/>
        <w:rPr>
          <w:rFonts w:ascii="Times New Roman" w:hAnsi="Times New Roman" w:cs="Times New Roman"/>
          <w:b/>
          <w:bCs/>
          <w:color w:val="000000"/>
          <w:szCs w:val="32"/>
        </w:rPr>
      </w:pPr>
      <w:bookmarkStart w:id="17" w:name="_Hlk185536432"/>
      <w:r>
        <w:rPr>
          <w:rFonts w:ascii="Times New Roman" w:hAnsi="Times New Roman" w:cs="Times New Roman"/>
          <w:b/>
          <w:bCs/>
          <w:color w:val="000000"/>
          <w:szCs w:val="32"/>
        </w:rPr>
        <w:t>表4-</w:t>
      </w:r>
      <w:r>
        <w:rPr>
          <w:rFonts w:hint="eastAsia" w:ascii="Times New Roman" w:hAnsi="Times New Roman" w:cs="Times New Roman"/>
          <w:b/>
          <w:bCs/>
          <w:color w:val="000000"/>
          <w:szCs w:val="32"/>
        </w:rPr>
        <w:t>10</w:t>
      </w:r>
      <w:r>
        <w:rPr>
          <w:rFonts w:ascii="Times New Roman" w:hAnsi="Times New Roman" w:cs="Times New Roman"/>
          <w:b/>
          <w:bCs/>
          <w:color w:val="000000"/>
          <w:szCs w:val="32"/>
        </w:rPr>
        <w:t xml:space="preserve">  炼钢工序大气污染物排放相关标准比较（mg/m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748"/>
        <w:gridCol w:w="646"/>
        <w:gridCol w:w="1217"/>
        <w:gridCol w:w="643"/>
        <w:gridCol w:w="1309"/>
        <w:gridCol w:w="555"/>
        <w:gridCol w:w="555"/>
        <w:gridCol w:w="555"/>
        <w:gridCol w:w="553"/>
      </w:tblGrid>
      <w:tr w14:paraId="01B1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Merge w:val="restart"/>
            <w:vAlign w:val="center"/>
          </w:tcPr>
          <w:p w14:paraId="7D9EEE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标准</w:t>
            </w:r>
          </w:p>
        </w:tc>
        <w:tc>
          <w:tcPr>
            <w:tcW w:w="429" w:type="pct"/>
            <w:vAlign w:val="center"/>
          </w:tcPr>
          <w:p w14:paraId="7E3CD15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转炉</w:t>
            </w:r>
          </w:p>
          <w:p w14:paraId="4DF489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一次</w:t>
            </w:r>
          </w:p>
        </w:tc>
        <w:tc>
          <w:tcPr>
            <w:tcW w:w="764" w:type="pct"/>
            <w:vAlign w:val="center"/>
          </w:tcPr>
          <w:p w14:paraId="5D54622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混铁炉、铁</w:t>
            </w:r>
          </w:p>
          <w:p w14:paraId="18A9BE7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水预处理（含倒罐、扒渣）、转炉二次、精炼炉</w:t>
            </w:r>
          </w:p>
        </w:tc>
        <w:tc>
          <w:tcPr>
            <w:tcW w:w="1025" w:type="pct"/>
            <w:gridSpan w:val="2"/>
            <w:vAlign w:val="center"/>
          </w:tcPr>
          <w:p w14:paraId="32A464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电炉</w:t>
            </w:r>
          </w:p>
        </w:tc>
        <w:tc>
          <w:tcPr>
            <w:tcW w:w="375" w:type="pct"/>
            <w:vAlign w:val="center"/>
          </w:tcPr>
          <w:p w14:paraId="753CF59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连铸切割及火焰清理</w:t>
            </w:r>
          </w:p>
        </w:tc>
        <w:tc>
          <w:tcPr>
            <w:tcW w:w="375" w:type="pct"/>
            <w:vAlign w:val="center"/>
          </w:tcPr>
          <w:p w14:paraId="6D50D1F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钢渣</w:t>
            </w:r>
          </w:p>
          <w:p w14:paraId="4A4D6A2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处理</w:t>
            </w:r>
          </w:p>
        </w:tc>
        <w:tc>
          <w:tcPr>
            <w:tcW w:w="375" w:type="pct"/>
            <w:vAlign w:val="center"/>
          </w:tcPr>
          <w:p w14:paraId="7272B87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其他生产设备</w:t>
            </w:r>
          </w:p>
        </w:tc>
        <w:tc>
          <w:tcPr>
            <w:tcW w:w="375" w:type="pct"/>
            <w:vAlign w:val="center"/>
          </w:tcPr>
          <w:p w14:paraId="63AA47B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电渣冶金</w:t>
            </w:r>
          </w:p>
        </w:tc>
      </w:tr>
      <w:tr w14:paraId="5199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Merge w:val="continue"/>
            <w:vAlign w:val="center"/>
          </w:tcPr>
          <w:p w14:paraId="49714F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p>
        </w:tc>
        <w:tc>
          <w:tcPr>
            <w:tcW w:w="429" w:type="pct"/>
            <w:vAlign w:val="center"/>
          </w:tcPr>
          <w:p w14:paraId="5C29407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764" w:type="pct"/>
            <w:vAlign w:val="center"/>
          </w:tcPr>
          <w:p w14:paraId="62F541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427" w:type="pct"/>
            <w:vAlign w:val="center"/>
          </w:tcPr>
          <w:p w14:paraId="23663AC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598" w:type="pct"/>
            <w:vAlign w:val="center"/>
          </w:tcPr>
          <w:p w14:paraId="6B5AEC8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二噁英类（ng-TEQ/m</w:t>
            </w:r>
            <w:r>
              <w:rPr>
                <w:rFonts w:hint="eastAsia" w:ascii="Times New Roman" w:hAnsi="Times New Roman" w:cs="Times New Roman"/>
                <w:color w:val="000000"/>
                <w:sz w:val="20"/>
                <w:szCs w:val="20"/>
                <w:vertAlign w:val="superscript"/>
              </w:rPr>
              <w:t>3</w:t>
            </w:r>
            <w:r>
              <w:rPr>
                <w:rFonts w:hint="eastAsia" w:ascii="Times New Roman" w:hAnsi="Times New Roman" w:cs="Times New Roman"/>
                <w:color w:val="000000"/>
                <w:sz w:val="20"/>
                <w:szCs w:val="20"/>
              </w:rPr>
              <w:t>）</w:t>
            </w:r>
          </w:p>
        </w:tc>
        <w:tc>
          <w:tcPr>
            <w:tcW w:w="375" w:type="pct"/>
            <w:vAlign w:val="center"/>
          </w:tcPr>
          <w:p w14:paraId="15F7DA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375" w:type="pct"/>
            <w:vAlign w:val="center"/>
          </w:tcPr>
          <w:p w14:paraId="2C5EC7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375" w:type="pct"/>
            <w:vAlign w:val="center"/>
          </w:tcPr>
          <w:p w14:paraId="4EE3E1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375" w:type="pct"/>
            <w:vAlign w:val="center"/>
          </w:tcPr>
          <w:p w14:paraId="48F69D6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氟化物</w:t>
            </w:r>
          </w:p>
        </w:tc>
      </w:tr>
      <w:tr w14:paraId="29D2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vAlign w:val="center"/>
          </w:tcPr>
          <w:p w14:paraId="26807F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国家标准（GB28664-2012）</w:t>
            </w:r>
          </w:p>
        </w:tc>
        <w:tc>
          <w:tcPr>
            <w:tcW w:w="488" w:type="pct"/>
            <w:vAlign w:val="center"/>
          </w:tcPr>
          <w:p w14:paraId="3F92A7E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特别排放限值</w:t>
            </w:r>
          </w:p>
        </w:tc>
        <w:tc>
          <w:tcPr>
            <w:tcW w:w="429" w:type="pct"/>
            <w:vAlign w:val="center"/>
          </w:tcPr>
          <w:p w14:paraId="501E77E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764" w:type="pct"/>
            <w:vAlign w:val="center"/>
          </w:tcPr>
          <w:p w14:paraId="57B00FD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7" w:type="pct"/>
            <w:vAlign w:val="center"/>
          </w:tcPr>
          <w:p w14:paraId="6952765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598" w:type="pct"/>
            <w:vAlign w:val="center"/>
          </w:tcPr>
          <w:p w14:paraId="459608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0.5</w:t>
            </w:r>
          </w:p>
        </w:tc>
        <w:tc>
          <w:tcPr>
            <w:tcW w:w="375" w:type="pct"/>
            <w:vAlign w:val="center"/>
          </w:tcPr>
          <w:p w14:paraId="506C6E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375" w:type="pct"/>
            <w:vAlign w:val="center"/>
          </w:tcPr>
          <w:p w14:paraId="0215DD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100</w:t>
            </w:r>
          </w:p>
        </w:tc>
        <w:tc>
          <w:tcPr>
            <w:tcW w:w="375" w:type="pct"/>
            <w:vAlign w:val="center"/>
          </w:tcPr>
          <w:p w14:paraId="5D73B2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375" w:type="pct"/>
            <w:vAlign w:val="center"/>
          </w:tcPr>
          <w:p w14:paraId="0A7AEA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r>
      <w:tr w14:paraId="4B42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Align w:val="center"/>
          </w:tcPr>
          <w:p w14:paraId="22ADAD9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河北省标准（DB13/2169-2018）</w:t>
            </w:r>
          </w:p>
        </w:tc>
        <w:tc>
          <w:tcPr>
            <w:tcW w:w="429" w:type="pct"/>
            <w:vAlign w:val="center"/>
          </w:tcPr>
          <w:p w14:paraId="0E5BC83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764" w:type="pct"/>
            <w:vAlign w:val="center"/>
          </w:tcPr>
          <w:p w14:paraId="4AA9D0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7" w:type="pct"/>
            <w:vAlign w:val="center"/>
          </w:tcPr>
          <w:p w14:paraId="218361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98" w:type="pct"/>
            <w:vAlign w:val="center"/>
          </w:tcPr>
          <w:p w14:paraId="2E18EF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0.5</w:t>
            </w:r>
          </w:p>
        </w:tc>
        <w:tc>
          <w:tcPr>
            <w:tcW w:w="375" w:type="pct"/>
            <w:vAlign w:val="center"/>
          </w:tcPr>
          <w:p w14:paraId="1ACF93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5621F3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375" w:type="pct"/>
            <w:vAlign w:val="center"/>
          </w:tcPr>
          <w:p w14:paraId="639E18E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27017F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r>
      <w:tr w14:paraId="1E28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Align w:val="center"/>
          </w:tcPr>
          <w:p w14:paraId="7BB95D1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山东省标准</w:t>
            </w:r>
          </w:p>
          <w:p w14:paraId="159E9DF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（DB37/990-2019）</w:t>
            </w:r>
          </w:p>
        </w:tc>
        <w:tc>
          <w:tcPr>
            <w:tcW w:w="429" w:type="pct"/>
            <w:vAlign w:val="center"/>
          </w:tcPr>
          <w:p w14:paraId="2A545FB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764" w:type="pct"/>
            <w:vAlign w:val="center"/>
          </w:tcPr>
          <w:p w14:paraId="020FE65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7" w:type="pct"/>
            <w:vAlign w:val="center"/>
          </w:tcPr>
          <w:p w14:paraId="19BB21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98" w:type="pct"/>
            <w:vAlign w:val="center"/>
          </w:tcPr>
          <w:p w14:paraId="5842B4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0.2</w:t>
            </w:r>
          </w:p>
        </w:tc>
        <w:tc>
          <w:tcPr>
            <w:tcW w:w="375" w:type="pct"/>
            <w:vAlign w:val="center"/>
          </w:tcPr>
          <w:p w14:paraId="2AF5986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5B6076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375" w:type="pct"/>
            <w:vAlign w:val="center"/>
          </w:tcPr>
          <w:p w14:paraId="21112C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7A4BCE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r>
      <w:tr w14:paraId="2FA8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Align w:val="center"/>
          </w:tcPr>
          <w:p w14:paraId="58F1A4F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河南省标准（DB41/1954-2020）</w:t>
            </w:r>
          </w:p>
        </w:tc>
        <w:tc>
          <w:tcPr>
            <w:tcW w:w="429" w:type="pct"/>
            <w:vAlign w:val="center"/>
          </w:tcPr>
          <w:p w14:paraId="343391A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764" w:type="pct"/>
            <w:vAlign w:val="center"/>
          </w:tcPr>
          <w:p w14:paraId="1D8EBFE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7" w:type="pct"/>
            <w:vAlign w:val="center"/>
          </w:tcPr>
          <w:p w14:paraId="36BB4B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98" w:type="pct"/>
            <w:vAlign w:val="center"/>
          </w:tcPr>
          <w:p w14:paraId="6A26DD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0.5</w:t>
            </w:r>
          </w:p>
        </w:tc>
        <w:tc>
          <w:tcPr>
            <w:tcW w:w="375" w:type="pct"/>
            <w:vAlign w:val="center"/>
          </w:tcPr>
          <w:p w14:paraId="2E224F1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42047C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375" w:type="pct"/>
            <w:vAlign w:val="center"/>
          </w:tcPr>
          <w:p w14:paraId="08F404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6F36BAD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r>
      <w:tr w14:paraId="21F9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Align w:val="center"/>
          </w:tcPr>
          <w:p w14:paraId="10770A6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山西省标准（DB14/2249-2020）</w:t>
            </w:r>
          </w:p>
        </w:tc>
        <w:tc>
          <w:tcPr>
            <w:tcW w:w="429" w:type="pct"/>
            <w:vAlign w:val="center"/>
          </w:tcPr>
          <w:p w14:paraId="50815A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764" w:type="pct"/>
            <w:vAlign w:val="center"/>
          </w:tcPr>
          <w:p w14:paraId="1417A8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7" w:type="pct"/>
            <w:vAlign w:val="center"/>
          </w:tcPr>
          <w:p w14:paraId="70B3AA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98" w:type="pct"/>
            <w:vAlign w:val="center"/>
          </w:tcPr>
          <w:p w14:paraId="4E3C4C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0.5</w:t>
            </w:r>
          </w:p>
        </w:tc>
        <w:tc>
          <w:tcPr>
            <w:tcW w:w="375" w:type="pct"/>
            <w:vAlign w:val="center"/>
          </w:tcPr>
          <w:p w14:paraId="0BD9D13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0D9D96B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375" w:type="pct"/>
            <w:vAlign w:val="center"/>
          </w:tcPr>
          <w:p w14:paraId="391F54D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547524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w:t>
            </w:r>
          </w:p>
        </w:tc>
      </w:tr>
      <w:tr w14:paraId="5EA9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Align w:val="center"/>
          </w:tcPr>
          <w:p w14:paraId="6815FB8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天津市标准（DB12/1120-2022）</w:t>
            </w:r>
          </w:p>
        </w:tc>
        <w:tc>
          <w:tcPr>
            <w:tcW w:w="429" w:type="pct"/>
            <w:vAlign w:val="center"/>
          </w:tcPr>
          <w:p w14:paraId="2C0F8C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764" w:type="pct"/>
            <w:vAlign w:val="center"/>
          </w:tcPr>
          <w:p w14:paraId="616BC8D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7" w:type="pct"/>
            <w:vAlign w:val="center"/>
          </w:tcPr>
          <w:p w14:paraId="5A3770F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98" w:type="pct"/>
            <w:vAlign w:val="center"/>
          </w:tcPr>
          <w:p w14:paraId="43EBCD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0.5</w:t>
            </w:r>
          </w:p>
        </w:tc>
        <w:tc>
          <w:tcPr>
            <w:tcW w:w="375" w:type="pct"/>
            <w:vAlign w:val="center"/>
          </w:tcPr>
          <w:p w14:paraId="4B2C84A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63C67EE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375" w:type="pct"/>
            <w:vAlign w:val="center"/>
          </w:tcPr>
          <w:p w14:paraId="54A00E6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375" w:type="pct"/>
            <w:vAlign w:val="center"/>
          </w:tcPr>
          <w:p w14:paraId="6E9AF8B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r>
      <w:tr w14:paraId="2FC3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Align w:val="center"/>
          </w:tcPr>
          <w:p w14:paraId="7F06B60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辽宁省标准</w:t>
            </w:r>
          </w:p>
          <w:p w14:paraId="2C7C3EA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（DB21/4119-2025）</w:t>
            </w:r>
          </w:p>
        </w:tc>
        <w:tc>
          <w:tcPr>
            <w:tcW w:w="429" w:type="pct"/>
            <w:vAlign w:val="center"/>
          </w:tcPr>
          <w:p w14:paraId="5E2044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764" w:type="pct"/>
            <w:vAlign w:val="center"/>
          </w:tcPr>
          <w:p w14:paraId="1832AE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p w14:paraId="71C475A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15（精炼炉）</w:t>
            </w:r>
          </w:p>
        </w:tc>
        <w:tc>
          <w:tcPr>
            <w:tcW w:w="427" w:type="pct"/>
            <w:vAlign w:val="center"/>
          </w:tcPr>
          <w:p w14:paraId="0416228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98" w:type="pct"/>
            <w:vAlign w:val="center"/>
          </w:tcPr>
          <w:p w14:paraId="3AC197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0.5</w:t>
            </w:r>
          </w:p>
        </w:tc>
        <w:tc>
          <w:tcPr>
            <w:tcW w:w="375" w:type="pct"/>
            <w:vAlign w:val="center"/>
          </w:tcPr>
          <w:p w14:paraId="13A879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375" w:type="pct"/>
            <w:vAlign w:val="center"/>
          </w:tcPr>
          <w:p w14:paraId="488AF74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100</w:t>
            </w:r>
          </w:p>
        </w:tc>
        <w:tc>
          <w:tcPr>
            <w:tcW w:w="375" w:type="pct"/>
            <w:vAlign w:val="center"/>
          </w:tcPr>
          <w:p w14:paraId="54E2935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375" w:type="pct"/>
            <w:vAlign w:val="center"/>
          </w:tcPr>
          <w:p w14:paraId="40F395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w:t>
            </w:r>
          </w:p>
        </w:tc>
      </w:tr>
      <w:tr w14:paraId="300F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pct"/>
            <w:gridSpan w:val="2"/>
            <w:vAlign w:val="center"/>
          </w:tcPr>
          <w:p w14:paraId="47F0DE3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超低意见</w:t>
            </w:r>
          </w:p>
        </w:tc>
        <w:tc>
          <w:tcPr>
            <w:tcW w:w="429" w:type="pct"/>
            <w:vAlign w:val="center"/>
          </w:tcPr>
          <w:p w14:paraId="1286C8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764" w:type="pct"/>
            <w:vAlign w:val="center"/>
          </w:tcPr>
          <w:p w14:paraId="0A9175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10（不含混铁炉、精炼炉）</w:t>
            </w:r>
          </w:p>
        </w:tc>
        <w:tc>
          <w:tcPr>
            <w:tcW w:w="427" w:type="pct"/>
            <w:vAlign w:val="center"/>
          </w:tcPr>
          <w:p w14:paraId="77FB194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98" w:type="pct"/>
            <w:vAlign w:val="center"/>
          </w:tcPr>
          <w:p w14:paraId="38D2EC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375" w:type="pct"/>
            <w:vAlign w:val="center"/>
          </w:tcPr>
          <w:p w14:paraId="0EC74A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375" w:type="pct"/>
            <w:vAlign w:val="center"/>
          </w:tcPr>
          <w:p w14:paraId="7817AE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375" w:type="pct"/>
            <w:vAlign w:val="center"/>
          </w:tcPr>
          <w:p w14:paraId="2CB1AA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375" w:type="pct"/>
            <w:vAlign w:val="center"/>
          </w:tcPr>
          <w:p w14:paraId="454189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r>
      <w:bookmarkEnd w:id="17"/>
    </w:tbl>
    <w:p w14:paraId="500A0EB8">
      <w:pPr>
        <w:pStyle w:val="13"/>
        <w:spacing w:line="360" w:lineRule="auto"/>
        <w:ind w:firstLine="480"/>
        <w:jc w:val="both"/>
        <w:rPr>
          <w:rFonts w:ascii="Times New Roman" w:hAnsi="Times New Roman"/>
        </w:rPr>
      </w:pPr>
      <w:r>
        <w:rPr>
          <w:rFonts w:ascii="Times New Roman" w:hAnsi="Times New Roman"/>
        </w:rPr>
        <w:t>河北、山东、河南、</w:t>
      </w:r>
      <w:r>
        <w:rPr>
          <w:rFonts w:hint="eastAsia" w:ascii="Times New Roman" w:hAnsi="Times New Roman"/>
        </w:rPr>
        <w:t>山西、</w:t>
      </w:r>
      <w:r>
        <w:rPr>
          <w:rFonts w:ascii="Times New Roman" w:hAnsi="Times New Roman"/>
        </w:rPr>
        <w:t>天津</w:t>
      </w:r>
      <w:r>
        <w:rPr>
          <w:rFonts w:hint="eastAsia" w:ascii="Times New Roman" w:hAnsi="Times New Roman"/>
        </w:rPr>
        <w:t>五</w:t>
      </w:r>
      <w:r>
        <w:rPr>
          <w:rFonts w:ascii="Times New Roman" w:hAnsi="Times New Roman"/>
        </w:rPr>
        <w:t>个省市钢铁排放标准中炼钢工序在常规环境除尘中均保持外排浓度限值一致，电炉、电渣冶金中的二噁英与氟化物方面除现已发布的山东地标进行加严外，其余节点均与现行国标限值保持一致；</w:t>
      </w:r>
      <w:r>
        <w:rPr>
          <w:rFonts w:hint="eastAsia" w:ascii="Times New Roman" w:hAnsi="Times New Roman"/>
        </w:rPr>
        <w:t>山东、河南、</w:t>
      </w:r>
      <w:r>
        <w:rPr>
          <w:rFonts w:ascii="Times New Roman" w:hAnsi="Times New Roman"/>
        </w:rPr>
        <w:t>山西</w:t>
      </w:r>
      <w:r>
        <w:rPr>
          <w:rFonts w:hint="eastAsia" w:ascii="Times New Roman" w:hAnsi="Times New Roman"/>
        </w:rPr>
        <w:t>三个</w:t>
      </w:r>
      <w:r>
        <w:rPr>
          <w:rFonts w:ascii="Times New Roman" w:hAnsi="Times New Roman"/>
        </w:rPr>
        <w:t>省钢铁排放标准中转炉一次</w:t>
      </w:r>
      <w:r>
        <w:rPr>
          <w:rFonts w:hint="eastAsia" w:ascii="Times New Roman" w:hAnsi="Times New Roman"/>
        </w:rPr>
        <w:t>烟气颗粒物限值严于</w:t>
      </w:r>
      <w:bookmarkStart w:id="18" w:name="OLE_LINK59"/>
      <w:bookmarkStart w:id="19" w:name="OLE_LINK60"/>
      <w:r>
        <w:rPr>
          <w:rFonts w:hint="eastAsia" w:ascii="Times New Roman" w:hAnsi="Times New Roman"/>
        </w:rPr>
        <w:t>国家标准</w:t>
      </w:r>
      <w:bookmarkEnd w:id="18"/>
      <w:bookmarkEnd w:id="19"/>
      <w:r>
        <w:rPr>
          <w:rFonts w:hint="eastAsia" w:ascii="Times New Roman" w:hAnsi="Times New Roman"/>
        </w:rPr>
        <w:t>；河北、山东、河南、山西、天津</w:t>
      </w:r>
      <w:r>
        <w:rPr>
          <w:rFonts w:ascii="Times New Roman" w:hAnsi="Times New Roman"/>
        </w:rPr>
        <w:t>钢渣处理节点限值严于</w:t>
      </w:r>
      <w:r>
        <w:rPr>
          <w:rFonts w:hint="eastAsia" w:ascii="Times New Roman" w:hAnsi="Times New Roman"/>
        </w:rPr>
        <w:t>国家标准</w:t>
      </w:r>
      <w:r>
        <w:rPr>
          <w:rFonts w:ascii="Times New Roman" w:hAnsi="Times New Roman"/>
        </w:rPr>
        <w:t>的限值要求</w:t>
      </w:r>
      <w:r>
        <w:rPr>
          <w:rFonts w:hint="eastAsia" w:ascii="Times New Roman" w:hAnsi="Times New Roman"/>
        </w:rPr>
        <w:t>；辽宁省在满足超低意见要求的基础上，基本与国家标准的限值保持一致</w:t>
      </w:r>
      <w:r>
        <w:rPr>
          <w:rFonts w:ascii="Times New Roman" w:hAnsi="Times New Roman"/>
        </w:rPr>
        <w:t>。</w:t>
      </w:r>
    </w:p>
    <w:p w14:paraId="4CBEFA6F">
      <w:pPr>
        <w:pStyle w:val="13"/>
        <w:spacing w:line="360" w:lineRule="auto"/>
        <w:ind w:firstLine="480"/>
        <w:rPr>
          <w:rFonts w:ascii="Times New Roman" w:hAnsi="Times New Roman"/>
        </w:rPr>
      </w:pPr>
      <w:r>
        <w:rPr>
          <w:rFonts w:ascii="Times New Roman" w:hAnsi="Times New Roman"/>
        </w:rPr>
        <w:t>（4）轧钢工序</w:t>
      </w:r>
    </w:p>
    <w:p w14:paraId="062F9A46">
      <w:pPr>
        <w:pStyle w:val="13"/>
        <w:spacing w:line="360" w:lineRule="auto"/>
        <w:ind w:firstLine="480"/>
        <w:jc w:val="both"/>
        <w:rPr>
          <w:rFonts w:ascii="Times New Roman" w:hAnsi="Times New Roman"/>
        </w:rPr>
      </w:pPr>
      <w:r>
        <w:rPr>
          <w:rFonts w:ascii="Times New Roman" w:hAnsi="Times New Roman"/>
        </w:rPr>
        <w:t>河北、山东、河南、</w:t>
      </w:r>
      <w:r>
        <w:rPr>
          <w:rFonts w:hint="eastAsia" w:ascii="Times New Roman" w:hAnsi="Times New Roman"/>
        </w:rPr>
        <w:t>山西、</w:t>
      </w:r>
      <w:r>
        <w:rPr>
          <w:rFonts w:ascii="Times New Roman" w:hAnsi="Times New Roman"/>
        </w:rPr>
        <w:t>天津</w:t>
      </w:r>
      <w:r>
        <w:rPr>
          <w:rFonts w:hint="eastAsia" w:ascii="Times New Roman" w:hAnsi="Times New Roman"/>
        </w:rPr>
        <w:t>五</w:t>
      </w:r>
      <w:r>
        <w:rPr>
          <w:rFonts w:ascii="Times New Roman" w:hAnsi="Times New Roman"/>
        </w:rPr>
        <w:t>个省市钢铁排放标准中轧钢工序在常规环境除尘中</w:t>
      </w:r>
      <w:r>
        <w:rPr>
          <w:rFonts w:hint="eastAsia" w:ascii="Times New Roman" w:hAnsi="Times New Roman"/>
        </w:rPr>
        <w:t>基本</w:t>
      </w:r>
      <w:r>
        <w:rPr>
          <w:rFonts w:ascii="Times New Roman" w:hAnsi="Times New Roman"/>
        </w:rPr>
        <w:t>保持外排浓度限值一致</w:t>
      </w:r>
      <w:r>
        <w:rPr>
          <w:rFonts w:hint="eastAsia" w:ascii="Times New Roman" w:hAnsi="Times New Roman"/>
        </w:rPr>
        <w:t>，辽宁省地标在满足超低要求的基础上基本按照现行国标执行。</w:t>
      </w:r>
      <w:r>
        <w:rPr>
          <w:rFonts w:ascii="Times New Roman" w:hAnsi="Times New Roman"/>
        </w:rPr>
        <w:t>目前在地标中明确的高炉煤气精脱硫改造仍处于示范工程</w:t>
      </w:r>
      <w:r>
        <w:rPr>
          <w:rFonts w:hint="eastAsia" w:ascii="Times New Roman" w:hAnsi="Times New Roman"/>
        </w:rPr>
        <w:t>过渡</w:t>
      </w:r>
      <w:r>
        <w:rPr>
          <w:rFonts w:ascii="Times New Roman" w:hAnsi="Times New Roman"/>
        </w:rPr>
        <w:t>阶段，待拥有工艺成熟、稳定运行监测路径时，可从源头煤气总硫净化中实现广泛应用，现阶段可考虑从低硫原料使用、煤气脱硫化氢或末端燃烧废气脱硫方面着手，满足标准中</w:t>
      </w:r>
      <w:r>
        <w:rPr>
          <w:rFonts w:hint="eastAsia" w:ascii="Times New Roman" w:hAnsi="Times New Roman"/>
        </w:rPr>
        <w:t>二氧化硫</w:t>
      </w:r>
      <w:r>
        <w:rPr>
          <w:rFonts w:ascii="Times New Roman" w:hAnsi="Times New Roman"/>
        </w:rPr>
        <w:t>50mg/m</w:t>
      </w:r>
      <w:r>
        <w:rPr>
          <w:rFonts w:ascii="Times New Roman" w:hAnsi="Times New Roman"/>
          <w:vertAlign w:val="superscript"/>
        </w:rPr>
        <w:t>3</w:t>
      </w:r>
      <w:r>
        <w:rPr>
          <w:rFonts w:ascii="Times New Roman" w:hAnsi="Times New Roman"/>
        </w:rPr>
        <w:t>的限值要求。部分企业因钢材品种、燃用煤气热值较高等问题，使用常规的源头低氮燃烧清洁生产工艺，无法稳定满足150 mg/m</w:t>
      </w:r>
      <w:r>
        <w:rPr>
          <w:rFonts w:ascii="Times New Roman" w:hAnsi="Times New Roman"/>
          <w:vertAlign w:val="superscript"/>
        </w:rPr>
        <w:t>3</w:t>
      </w:r>
      <w:r>
        <w:rPr>
          <w:rFonts w:ascii="Times New Roman" w:hAnsi="Times New Roman"/>
        </w:rPr>
        <w:t>的NO</w:t>
      </w:r>
      <w:r>
        <w:rPr>
          <w:rFonts w:ascii="Times New Roman" w:hAnsi="Times New Roman"/>
          <w:vertAlign w:val="subscript"/>
        </w:rPr>
        <w:t>X</w:t>
      </w:r>
      <w:r>
        <w:rPr>
          <w:rFonts w:ascii="Times New Roman" w:hAnsi="Times New Roman"/>
        </w:rPr>
        <w:t>达标排放要求，可能需要增建末端脱硝设施以满足限值要求。废酸再生、涂层机组等设施排污节点基本按照现行国标执行</w:t>
      </w:r>
      <w:r>
        <w:rPr>
          <w:rFonts w:hint="eastAsia" w:ascii="Times New Roman" w:hAnsi="Times New Roman"/>
        </w:rPr>
        <w:t>，山东、山西、辽宁三个省地标在涂（镀）层机组三苯排放限值上有所收严</w:t>
      </w:r>
      <w:r>
        <w:rPr>
          <w:rFonts w:ascii="Times New Roman" w:hAnsi="Times New Roman"/>
        </w:rPr>
        <w:t>。</w:t>
      </w:r>
    </w:p>
    <w:p w14:paraId="1CF8EE65">
      <w:pPr>
        <w:pStyle w:val="13"/>
        <w:spacing w:line="360" w:lineRule="auto"/>
        <w:ind w:firstLine="480"/>
        <w:rPr>
          <w:rFonts w:ascii="Times New Roman" w:hAnsi="Times New Roman"/>
        </w:rPr>
      </w:pPr>
    </w:p>
    <w:p w14:paraId="64A69155">
      <w:pPr>
        <w:pStyle w:val="13"/>
        <w:spacing w:line="360" w:lineRule="auto"/>
        <w:ind w:firstLine="480"/>
        <w:rPr>
          <w:rFonts w:ascii="Times New Roman" w:hAnsi="Times New Roman"/>
        </w:rPr>
      </w:pPr>
    </w:p>
    <w:p w14:paraId="787C529E">
      <w:pPr>
        <w:pStyle w:val="13"/>
        <w:spacing w:line="360" w:lineRule="auto"/>
        <w:ind w:firstLine="480"/>
        <w:rPr>
          <w:rFonts w:ascii="Times New Roman" w:hAnsi="Times New Roman"/>
        </w:rPr>
        <w:sectPr>
          <w:pgSz w:w="11906" w:h="16838"/>
          <w:pgMar w:top="1440" w:right="1800" w:bottom="1440" w:left="1800" w:header="851" w:footer="992" w:gutter="0"/>
          <w:pgNumType w:start="1"/>
          <w:cols w:space="425" w:num="1"/>
          <w:docGrid w:type="lines" w:linePitch="312" w:charSpace="0"/>
        </w:sectPr>
      </w:pPr>
    </w:p>
    <w:p w14:paraId="1F89A226">
      <w:pPr>
        <w:pStyle w:val="8"/>
        <w:keepNext/>
        <w:jc w:val="center"/>
        <w:rPr>
          <w:rFonts w:ascii="Times New Roman" w:hAnsi="Times New Roman" w:eastAsia="宋体"/>
          <w:sz w:val="22"/>
          <w:szCs w:val="22"/>
        </w:rPr>
      </w:pPr>
      <w:r>
        <w:rPr>
          <w:rFonts w:ascii="Times New Roman" w:hAnsi="Times New Roman" w:eastAsia="宋体"/>
          <w:b/>
          <w:bCs/>
          <w:color w:val="000000"/>
          <w:sz w:val="22"/>
          <w:szCs w:val="22"/>
        </w:rPr>
        <w:t>表4-1</w:t>
      </w:r>
      <w:r>
        <w:rPr>
          <w:rFonts w:hint="eastAsia" w:ascii="Times New Roman" w:hAnsi="Times New Roman" w:eastAsia="宋体"/>
          <w:b/>
          <w:bCs/>
          <w:color w:val="000000"/>
          <w:sz w:val="22"/>
          <w:szCs w:val="22"/>
        </w:rPr>
        <w:t>1</w:t>
      </w:r>
      <w:r>
        <w:rPr>
          <w:rFonts w:ascii="Times New Roman" w:hAnsi="Times New Roman" w:eastAsia="宋体"/>
          <w:b/>
          <w:bCs/>
          <w:color w:val="000000"/>
          <w:sz w:val="22"/>
          <w:szCs w:val="22"/>
        </w:rPr>
        <w:t xml:space="preserve">  </w:t>
      </w:r>
      <w:r>
        <w:rPr>
          <w:rFonts w:ascii="Times New Roman" w:hAnsi="Times New Roman" w:eastAsia="宋体"/>
          <w:b/>
          <w:bCs/>
          <w:color w:val="000000"/>
          <w:sz w:val="24"/>
          <w:szCs w:val="24"/>
        </w:rPr>
        <w:t>轧钢工段大气污染物排放相关标准比较（mg/m</w:t>
      </w:r>
      <w:r>
        <w:rPr>
          <w:rFonts w:ascii="Times New Roman" w:hAnsi="Times New Roman" w:eastAsia="宋体"/>
          <w:b/>
          <w:bCs/>
          <w:color w:val="000000"/>
          <w:sz w:val="24"/>
          <w:szCs w:val="24"/>
          <w:vertAlign w:val="superscript"/>
        </w:rPr>
        <w:t>3</w:t>
      </w:r>
      <w:r>
        <w:rPr>
          <w:rFonts w:ascii="Times New Roman" w:hAnsi="Times New Roman" w:eastAsia="宋体"/>
          <w:b/>
          <w:bCs/>
          <w:color w:val="000000"/>
          <w:sz w:val="24"/>
          <w:szCs w:val="24"/>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51"/>
        <w:gridCol w:w="567"/>
        <w:gridCol w:w="567"/>
        <w:gridCol w:w="850"/>
        <w:gridCol w:w="567"/>
        <w:gridCol w:w="1065"/>
        <w:gridCol w:w="426"/>
        <w:gridCol w:w="426"/>
        <w:gridCol w:w="531"/>
        <w:gridCol w:w="532"/>
        <w:gridCol w:w="426"/>
        <w:gridCol w:w="426"/>
        <w:gridCol w:w="636"/>
        <w:gridCol w:w="531"/>
        <w:gridCol w:w="532"/>
        <w:gridCol w:w="636"/>
        <w:gridCol w:w="495"/>
        <w:gridCol w:w="462"/>
        <w:gridCol w:w="426"/>
        <w:gridCol w:w="431"/>
        <w:gridCol w:w="426"/>
        <w:gridCol w:w="459"/>
      </w:tblGrid>
      <w:tr w14:paraId="7B69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restart"/>
            <w:vAlign w:val="center"/>
          </w:tcPr>
          <w:p w14:paraId="494D8C6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标准</w:t>
            </w:r>
          </w:p>
        </w:tc>
        <w:tc>
          <w:tcPr>
            <w:tcW w:w="1984" w:type="dxa"/>
            <w:gridSpan w:val="3"/>
            <w:vAlign w:val="center"/>
          </w:tcPr>
          <w:p w14:paraId="4C7745E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热处理炉</w:t>
            </w:r>
          </w:p>
          <w:p w14:paraId="1BC188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（含加热炉）</w:t>
            </w:r>
          </w:p>
        </w:tc>
        <w:tc>
          <w:tcPr>
            <w:tcW w:w="567" w:type="dxa"/>
            <w:vAlign w:val="center"/>
          </w:tcPr>
          <w:p w14:paraId="4C2152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热轧精轧机</w:t>
            </w:r>
          </w:p>
        </w:tc>
        <w:tc>
          <w:tcPr>
            <w:tcW w:w="1065" w:type="dxa"/>
            <w:vAlign w:val="center"/>
          </w:tcPr>
          <w:p w14:paraId="26486A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拉矫、精整、抛丸、修磨、焊接机及其他生产设施</w:t>
            </w:r>
          </w:p>
        </w:tc>
        <w:tc>
          <w:tcPr>
            <w:tcW w:w="1915" w:type="dxa"/>
            <w:gridSpan w:val="4"/>
            <w:vAlign w:val="center"/>
          </w:tcPr>
          <w:p w14:paraId="112D54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废酸再生</w:t>
            </w:r>
          </w:p>
        </w:tc>
        <w:tc>
          <w:tcPr>
            <w:tcW w:w="2551" w:type="dxa"/>
            <w:gridSpan w:val="5"/>
            <w:vAlign w:val="center"/>
          </w:tcPr>
          <w:p w14:paraId="6A64C8E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酸洗机组</w:t>
            </w:r>
          </w:p>
        </w:tc>
        <w:tc>
          <w:tcPr>
            <w:tcW w:w="2450" w:type="dxa"/>
            <w:gridSpan w:val="5"/>
            <w:vAlign w:val="center"/>
          </w:tcPr>
          <w:p w14:paraId="7B648A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涂（镀）层机组</w:t>
            </w:r>
          </w:p>
        </w:tc>
        <w:tc>
          <w:tcPr>
            <w:tcW w:w="426" w:type="dxa"/>
            <w:vAlign w:val="center"/>
          </w:tcPr>
          <w:p w14:paraId="5082C2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脱脂</w:t>
            </w:r>
          </w:p>
        </w:tc>
        <w:tc>
          <w:tcPr>
            <w:tcW w:w="459" w:type="dxa"/>
            <w:vAlign w:val="center"/>
          </w:tcPr>
          <w:p w14:paraId="3955295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轧制机组</w:t>
            </w:r>
          </w:p>
        </w:tc>
      </w:tr>
      <w:tr w14:paraId="160C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continue"/>
            <w:vAlign w:val="center"/>
          </w:tcPr>
          <w:p w14:paraId="59FAFF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p>
        </w:tc>
        <w:tc>
          <w:tcPr>
            <w:tcW w:w="567" w:type="dxa"/>
            <w:vAlign w:val="center"/>
          </w:tcPr>
          <w:p w14:paraId="061C951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567" w:type="dxa"/>
            <w:vAlign w:val="center"/>
          </w:tcPr>
          <w:p w14:paraId="13D405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二氧化硫</w:t>
            </w:r>
          </w:p>
        </w:tc>
        <w:tc>
          <w:tcPr>
            <w:tcW w:w="850" w:type="dxa"/>
            <w:vAlign w:val="center"/>
          </w:tcPr>
          <w:p w14:paraId="26B1761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氮氧化物</w:t>
            </w:r>
          </w:p>
        </w:tc>
        <w:tc>
          <w:tcPr>
            <w:tcW w:w="567" w:type="dxa"/>
            <w:vAlign w:val="center"/>
          </w:tcPr>
          <w:p w14:paraId="5C85F13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1065" w:type="dxa"/>
            <w:vAlign w:val="center"/>
          </w:tcPr>
          <w:p w14:paraId="0575E3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426" w:type="dxa"/>
            <w:vAlign w:val="center"/>
          </w:tcPr>
          <w:p w14:paraId="1323A4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426" w:type="dxa"/>
            <w:vAlign w:val="center"/>
          </w:tcPr>
          <w:p w14:paraId="643CE2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氯化氢</w:t>
            </w:r>
          </w:p>
        </w:tc>
        <w:tc>
          <w:tcPr>
            <w:tcW w:w="531" w:type="dxa"/>
            <w:vAlign w:val="center"/>
          </w:tcPr>
          <w:p w14:paraId="17B53C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硝酸雾</w:t>
            </w:r>
          </w:p>
        </w:tc>
        <w:tc>
          <w:tcPr>
            <w:tcW w:w="532" w:type="dxa"/>
            <w:vAlign w:val="center"/>
          </w:tcPr>
          <w:p w14:paraId="68BD96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氟化物</w:t>
            </w:r>
          </w:p>
        </w:tc>
        <w:tc>
          <w:tcPr>
            <w:tcW w:w="426" w:type="dxa"/>
            <w:vAlign w:val="center"/>
          </w:tcPr>
          <w:p w14:paraId="4A2DD0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氯化氢</w:t>
            </w:r>
          </w:p>
        </w:tc>
        <w:tc>
          <w:tcPr>
            <w:tcW w:w="426" w:type="dxa"/>
            <w:vAlign w:val="center"/>
          </w:tcPr>
          <w:p w14:paraId="777C55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硫酸雾</w:t>
            </w:r>
          </w:p>
        </w:tc>
        <w:tc>
          <w:tcPr>
            <w:tcW w:w="636" w:type="dxa"/>
            <w:vAlign w:val="center"/>
          </w:tcPr>
          <w:p w14:paraId="0649269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铬酸雾</w:t>
            </w:r>
          </w:p>
        </w:tc>
        <w:tc>
          <w:tcPr>
            <w:tcW w:w="531" w:type="dxa"/>
            <w:vAlign w:val="center"/>
          </w:tcPr>
          <w:p w14:paraId="74E9340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硝酸雾</w:t>
            </w:r>
          </w:p>
        </w:tc>
        <w:tc>
          <w:tcPr>
            <w:tcW w:w="532" w:type="dxa"/>
            <w:vAlign w:val="center"/>
          </w:tcPr>
          <w:p w14:paraId="1E3BFF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氟化物</w:t>
            </w:r>
          </w:p>
        </w:tc>
        <w:tc>
          <w:tcPr>
            <w:tcW w:w="636" w:type="dxa"/>
            <w:vAlign w:val="center"/>
          </w:tcPr>
          <w:p w14:paraId="25BD703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铬酸雾</w:t>
            </w:r>
          </w:p>
        </w:tc>
        <w:tc>
          <w:tcPr>
            <w:tcW w:w="495" w:type="dxa"/>
            <w:vAlign w:val="center"/>
          </w:tcPr>
          <w:p w14:paraId="28DBE8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苯</w:t>
            </w:r>
          </w:p>
        </w:tc>
        <w:tc>
          <w:tcPr>
            <w:tcW w:w="462" w:type="dxa"/>
            <w:vAlign w:val="center"/>
          </w:tcPr>
          <w:p w14:paraId="4CA16F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甲苯</w:t>
            </w:r>
          </w:p>
        </w:tc>
        <w:tc>
          <w:tcPr>
            <w:tcW w:w="426" w:type="dxa"/>
            <w:vAlign w:val="center"/>
          </w:tcPr>
          <w:p w14:paraId="536A14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二甲苯</w:t>
            </w:r>
          </w:p>
        </w:tc>
        <w:tc>
          <w:tcPr>
            <w:tcW w:w="431" w:type="dxa"/>
            <w:vAlign w:val="center"/>
          </w:tcPr>
          <w:p w14:paraId="58833E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非甲烷总烃</w:t>
            </w:r>
          </w:p>
        </w:tc>
        <w:tc>
          <w:tcPr>
            <w:tcW w:w="426" w:type="dxa"/>
            <w:vAlign w:val="center"/>
          </w:tcPr>
          <w:p w14:paraId="03D5B0B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碱雾</w:t>
            </w:r>
          </w:p>
        </w:tc>
        <w:tc>
          <w:tcPr>
            <w:tcW w:w="459" w:type="dxa"/>
            <w:vAlign w:val="center"/>
          </w:tcPr>
          <w:p w14:paraId="470FAE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油雾</w:t>
            </w:r>
          </w:p>
        </w:tc>
      </w:tr>
      <w:tr w14:paraId="22F4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124E62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国家标准（GB28665-2012）</w:t>
            </w:r>
          </w:p>
        </w:tc>
        <w:tc>
          <w:tcPr>
            <w:tcW w:w="851" w:type="dxa"/>
            <w:vAlign w:val="center"/>
          </w:tcPr>
          <w:p w14:paraId="3BDD1D8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特别排</w:t>
            </w:r>
          </w:p>
          <w:p w14:paraId="349B4E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放限值</w:t>
            </w:r>
          </w:p>
        </w:tc>
        <w:tc>
          <w:tcPr>
            <w:tcW w:w="567" w:type="dxa"/>
            <w:vAlign w:val="center"/>
          </w:tcPr>
          <w:p w14:paraId="645DCA0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567" w:type="dxa"/>
            <w:vAlign w:val="center"/>
          </w:tcPr>
          <w:p w14:paraId="73C23D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100/</w:t>
            </w:r>
          </w:p>
          <w:p w14:paraId="1D94FA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850" w:type="dxa"/>
            <w:vAlign w:val="center"/>
          </w:tcPr>
          <w:p w14:paraId="47AA75C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200/</w:t>
            </w:r>
          </w:p>
          <w:p w14:paraId="7E96BA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300</w:t>
            </w:r>
          </w:p>
        </w:tc>
        <w:tc>
          <w:tcPr>
            <w:tcW w:w="567" w:type="dxa"/>
            <w:vAlign w:val="center"/>
          </w:tcPr>
          <w:p w14:paraId="69FE90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1065" w:type="dxa"/>
            <w:vAlign w:val="center"/>
          </w:tcPr>
          <w:p w14:paraId="7C07C6B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15706C0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426" w:type="dxa"/>
            <w:vAlign w:val="center"/>
          </w:tcPr>
          <w:p w14:paraId="5F31F21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531" w:type="dxa"/>
            <w:vAlign w:val="center"/>
          </w:tcPr>
          <w:p w14:paraId="1B2072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240</w:t>
            </w:r>
          </w:p>
        </w:tc>
        <w:tc>
          <w:tcPr>
            <w:tcW w:w="532" w:type="dxa"/>
            <w:vAlign w:val="center"/>
          </w:tcPr>
          <w:p w14:paraId="33EF9A8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9.0</w:t>
            </w:r>
          </w:p>
        </w:tc>
        <w:tc>
          <w:tcPr>
            <w:tcW w:w="426" w:type="dxa"/>
            <w:vAlign w:val="center"/>
          </w:tcPr>
          <w:p w14:paraId="0025F8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6C39E49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636" w:type="dxa"/>
            <w:vAlign w:val="center"/>
          </w:tcPr>
          <w:p w14:paraId="7B9EA2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531" w:type="dxa"/>
            <w:vAlign w:val="center"/>
          </w:tcPr>
          <w:p w14:paraId="2B9454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32" w:type="dxa"/>
            <w:vAlign w:val="center"/>
          </w:tcPr>
          <w:p w14:paraId="5DE4B4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6.0</w:t>
            </w:r>
          </w:p>
        </w:tc>
        <w:tc>
          <w:tcPr>
            <w:tcW w:w="636" w:type="dxa"/>
            <w:vAlign w:val="center"/>
          </w:tcPr>
          <w:p w14:paraId="24B3F81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495" w:type="dxa"/>
            <w:vAlign w:val="center"/>
          </w:tcPr>
          <w:p w14:paraId="0886595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62" w:type="dxa"/>
            <w:vAlign w:val="center"/>
          </w:tcPr>
          <w:p w14:paraId="107FE1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25</w:t>
            </w:r>
          </w:p>
        </w:tc>
        <w:tc>
          <w:tcPr>
            <w:tcW w:w="426" w:type="dxa"/>
            <w:vAlign w:val="center"/>
          </w:tcPr>
          <w:p w14:paraId="37DCCCA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40</w:t>
            </w:r>
          </w:p>
        </w:tc>
        <w:tc>
          <w:tcPr>
            <w:tcW w:w="431" w:type="dxa"/>
            <w:vAlign w:val="center"/>
          </w:tcPr>
          <w:p w14:paraId="264DBE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26" w:type="dxa"/>
            <w:vAlign w:val="center"/>
          </w:tcPr>
          <w:p w14:paraId="38BB434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59" w:type="dxa"/>
            <w:vAlign w:val="center"/>
          </w:tcPr>
          <w:p w14:paraId="115206D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r>
      <w:tr w14:paraId="4D1A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2A092A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河北省标准（DB13/2169-2018）</w:t>
            </w:r>
          </w:p>
        </w:tc>
        <w:tc>
          <w:tcPr>
            <w:tcW w:w="567" w:type="dxa"/>
            <w:vAlign w:val="center"/>
          </w:tcPr>
          <w:p w14:paraId="7E11A46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67" w:type="dxa"/>
            <w:vAlign w:val="center"/>
          </w:tcPr>
          <w:p w14:paraId="5BD1F1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850" w:type="dxa"/>
            <w:vAlign w:val="center"/>
          </w:tcPr>
          <w:p w14:paraId="621287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67" w:type="dxa"/>
            <w:vAlign w:val="center"/>
          </w:tcPr>
          <w:p w14:paraId="1E6C30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1065" w:type="dxa"/>
            <w:vAlign w:val="center"/>
          </w:tcPr>
          <w:p w14:paraId="2EB316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6" w:type="dxa"/>
            <w:vAlign w:val="center"/>
          </w:tcPr>
          <w:p w14:paraId="438AB4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6" w:type="dxa"/>
            <w:vAlign w:val="center"/>
          </w:tcPr>
          <w:p w14:paraId="4EF5C9B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531" w:type="dxa"/>
            <w:vAlign w:val="center"/>
          </w:tcPr>
          <w:p w14:paraId="490479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240</w:t>
            </w:r>
          </w:p>
        </w:tc>
        <w:tc>
          <w:tcPr>
            <w:tcW w:w="532" w:type="dxa"/>
            <w:vAlign w:val="center"/>
          </w:tcPr>
          <w:p w14:paraId="422A2AF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9.0</w:t>
            </w:r>
          </w:p>
        </w:tc>
        <w:tc>
          <w:tcPr>
            <w:tcW w:w="426" w:type="dxa"/>
            <w:vAlign w:val="center"/>
          </w:tcPr>
          <w:p w14:paraId="1A0813C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7BFE87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636" w:type="dxa"/>
            <w:vAlign w:val="center"/>
          </w:tcPr>
          <w:p w14:paraId="3AC8E4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531" w:type="dxa"/>
            <w:vAlign w:val="center"/>
          </w:tcPr>
          <w:p w14:paraId="6B99C58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32" w:type="dxa"/>
            <w:vAlign w:val="center"/>
          </w:tcPr>
          <w:p w14:paraId="6378AB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6.0</w:t>
            </w:r>
          </w:p>
        </w:tc>
        <w:tc>
          <w:tcPr>
            <w:tcW w:w="636" w:type="dxa"/>
            <w:vAlign w:val="center"/>
          </w:tcPr>
          <w:p w14:paraId="61DA93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495" w:type="dxa"/>
            <w:vAlign w:val="center"/>
          </w:tcPr>
          <w:p w14:paraId="3D14F2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62" w:type="dxa"/>
            <w:vAlign w:val="center"/>
          </w:tcPr>
          <w:p w14:paraId="7B524EE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25</w:t>
            </w:r>
          </w:p>
        </w:tc>
        <w:tc>
          <w:tcPr>
            <w:tcW w:w="426" w:type="dxa"/>
            <w:vAlign w:val="center"/>
          </w:tcPr>
          <w:p w14:paraId="4AE3D6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40</w:t>
            </w:r>
          </w:p>
        </w:tc>
        <w:tc>
          <w:tcPr>
            <w:tcW w:w="431" w:type="dxa"/>
            <w:vAlign w:val="center"/>
          </w:tcPr>
          <w:p w14:paraId="35CA9F0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26" w:type="dxa"/>
            <w:vAlign w:val="center"/>
          </w:tcPr>
          <w:p w14:paraId="3600C1B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59" w:type="dxa"/>
            <w:vAlign w:val="center"/>
          </w:tcPr>
          <w:p w14:paraId="08B216F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r>
      <w:tr w14:paraId="2A30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09F1F3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山东省标准</w:t>
            </w:r>
          </w:p>
          <w:p w14:paraId="7757991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（DB37/990-2019）</w:t>
            </w:r>
          </w:p>
        </w:tc>
        <w:tc>
          <w:tcPr>
            <w:tcW w:w="567" w:type="dxa"/>
            <w:vAlign w:val="center"/>
          </w:tcPr>
          <w:p w14:paraId="3638174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67" w:type="dxa"/>
            <w:vAlign w:val="center"/>
          </w:tcPr>
          <w:p w14:paraId="373418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850" w:type="dxa"/>
            <w:vAlign w:val="center"/>
          </w:tcPr>
          <w:p w14:paraId="379E6B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67" w:type="dxa"/>
            <w:vAlign w:val="center"/>
          </w:tcPr>
          <w:p w14:paraId="14BCB1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1065" w:type="dxa"/>
            <w:vAlign w:val="center"/>
          </w:tcPr>
          <w:p w14:paraId="1D956C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6" w:type="dxa"/>
            <w:vAlign w:val="center"/>
          </w:tcPr>
          <w:p w14:paraId="56110A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426" w:type="dxa"/>
            <w:vAlign w:val="center"/>
          </w:tcPr>
          <w:p w14:paraId="488C29B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531" w:type="dxa"/>
            <w:vAlign w:val="center"/>
          </w:tcPr>
          <w:p w14:paraId="7C0FCC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32" w:type="dxa"/>
            <w:vAlign w:val="center"/>
          </w:tcPr>
          <w:p w14:paraId="70BB496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6.0</w:t>
            </w:r>
          </w:p>
        </w:tc>
        <w:tc>
          <w:tcPr>
            <w:tcW w:w="426" w:type="dxa"/>
            <w:vAlign w:val="center"/>
          </w:tcPr>
          <w:p w14:paraId="606B2B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552F2E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636" w:type="dxa"/>
            <w:vAlign w:val="center"/>
          </w:tcPr>
          <w:p w14:paraId="2C027D6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0.06</w:t>
            </w:r>
          </w:p>
        </w:tc>
        <w:tc>
          <w:tcPr>
            <w:tcW w:w="531" w:type="dxa"/>
            <w:vAlign w:val="center"/>
          </w:tcPr>
          <w:p w14:paraId="6CF760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32" w:type="dxa"/>
            <w:vAlign w:val="center"/>
          </w:tcPr>
          <w:p w14:paraId="20B1A7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6.0</w:t>
            </w:r>
          </w:p>
        </w:tc>
        <w:tc>
          <w:tcPr>
            <w:tcW w:w="636" w:type="dxa"/>
            <w:vAlign w:val="center"/>
          </w:tcPr>
          <w:p w14:paraId="28FF25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0.06</w:t>
            </w:r>
          </w:p>
        </w:tc>
        <w:tc>
          <w:tcPr>
            <w:tcW w:w="495" w:type="dxa"/>
            <w:vAlign w:val="center"/>
          </w:tcPr>
          <w:p w14:paraId="5DB29B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0.5</w:t>
            </w:r>
          </w:p>
        </w:tc>
        <w:tc>
          <w:tcPr>
            <w:tcW w:w="462" w:type="dxa"/>
            <w:vAlign w:val="center"/>
          </w:tcPr>
          <w:p w14:paraId="1D0A7CB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26" w:type="dxa"/>
            <w:vAlign w:val="center"/>
          </w:tcPr>
          <w:p w14:paraId="06BDE8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31" w:type="dxa"/>
            <w:vAlign w:val="center"/>
          </w:tcPr>
          <w:p w14:paraId="6BA9B9F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26" w:type="dxa"/>
            <w:vAlign w:val="center"/>
          </w:tcPr>
          <w:p w14:paraId="617DEB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59" w:type="dxa"/>
            <w:vAlign w:val="center"/>
          </w:tcPr>
          <w:p w14:paraId="4A8FCE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r>
      <w:tr w14:paraId="4A16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41F138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河南省标准（DB41/1954-2020）</w:t>
            </w:r>
          </w:p>
        </w:tc>
        <w:tc>
          <w:tcPr>
            <w:tcW w:w="567" w:type="dxa"/>
            <w:vAlign w:val="center"/>
          </w:tcPr>
          <w:p w14:paraId="3E8E67A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67" w:type="dxa"/>
            <w:vAlign w:val="center"/>
          </w:tcPr>
          <w:p w14:paraId="571B64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850" w:type="dxa"/>
            <w:vAlign w:val="center"/>
          </w:tcPr>
          <w:p w14:paraId="25EC8FF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67" w:type="dxa"/>
            <w:vAlign w:val="center"/>
          </w:tcPr>
          <w:p w14:paraId="59CB048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1065" w:type="dxa"/>
            <w:vAlign w:val="center"/>
          </w:tcPr>
          <w:p w14:paraId="6A80B7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6" w:type="dxa"/>
            <w:vAlign w:val="center"/>
          </w:tcPr>
          <w:p w14:paraId="4194ACB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426" w:type="dxa"/>
            <w:vAlign w:val="center"/>
          </w:tcPr>
          <w:p w14:paraId="141111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531" w:type="dxa"/>
            <w:vAlign w:val="center"/>
          </w:tcPr>
          <w:p w14:paraId="30F64D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240</w:t>
            </w:r>
          </w:p>
        </w:tc>
        <w:tc>
          <w:tcPr>
            <w:tcW w:w="532" w:type="dxa"/>
            <w:vAlign w:val="center"/>
          </w:tcPr>
          <w:p w14:paraId="310822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9.0</w:t>
            </w:r>
          </w:p>
        </w:tc>
        <w:tc>
          <w:tcPr>
            <w:tcW w:w="426" w:type="dxa"/>
            <w:vAlign w:val="center"/>
          </w:tcPr>
          <w:p w14:paraId="76FAF0D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78891E0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636" w:type="dxa"/>
            <w:vAlign w:val="center"/>
          </w:tcPr>
          <w:p w14:paraId="0A7677E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531" w:type="dxa"/>
            <w:vAlign w:val="center"/>
          </w:tcPr>
          <w:p w14:paraId="208796B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32" w:type="dxa"/>
            <w:vAlign w:val="center"/>
          </w:tcPr>
          <w:p w14:paraId="15B9066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6.0</w:t>
            </w:r>
          </w:p>
        </w:tc>
        <w:tc>
          <w:tcPr>
            <w:tcW w:w="636" w:type="dxa"/>
            <w:vAlign w:val="center"/>
          </w:tcPr>
          <w:p w14:paraId="2B0D6EC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495" w:type="dxa"/>
            <w:vAlign w:val="center"/>
          </w:tcPr>
          <w:p w14:paraId="068E97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w:t>
            </w:r>
          </w:p>
        </w:tc>
        <w:tc>
          <w:tcPr>
            <w:tcW w:w="462" w:type="dxa"/>
            <w:vAlign w:val="center"/>
          </w:tcPr>
          <w:p w14:paraId="186F655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25</w:t>
            </w:r>
          </w:p>
        </w:tc>
        <w:tc>
          <w:tcPr>
            <w:tcW w:w="426" w:type="dxa"/>
            <w:vAlign w:val="center"/>
          </w:tcPr>
          <w:p w14:paraId="1094BD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40</w:t>
            </w:r>
          </w:p>
        </w:tc>
        <w:tc>
          <w:tcPr>
            <w:tcW w:w="431" w:type="dxa"/>
            <w:vAlign w:val="center"/>
          </w:tcPr>
          <w:p w14:paraId="5ABE42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26" w:type="dxa"/>
            <w:vAlign w:val="center"/>
          </w:tcPr>
          <w:p w14:paraId="2B3F3C9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59" w:type="dxa"/>
            <w:vAlign w:val="center"/>
          </w:tcPr>
          <w:p w14:paraId="4CCDFAE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r>
      <w:tr w14:paraId="7A84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00EA918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山西省标准（DB14/2249-2020）</w:t>
            </w:r>
          </w:p>
        </w:tc>
        <w:tc>
          <w:tcPr>
            <w:tcW w:w="567" w:type="dxa"/>
            <w:vAlign w:val="center"/>
          </w:tcPr>
          <w:p w14:paraId="5CA929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67" w:type="dxa"/>
            <w:vAlign w:val="center"/>
          </w:tcPr>
          <w:p w14:paraId="089C04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850" w:type="dxa"/>
            <w:vAlign w:val="center"/>
          </w:tcPr>
          <w:p w14:paraId="04C5136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200</w:t>
            </w:r>
          </w:p>
        </w:tc>
        <w:tc>
          <w:tcPr>
            <w:tcW w:w="567" w:type="dxa"/>
            <w:vAlign w:val="center"/>
          </w:tcPr>
          <w:p w14:paraId="5FB9B5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1065" w:type="dxa"/>
            <w:vAlign w:val="center"/>
          </w:tcPr>
          <w:p w14:paraId="2CB4A01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6" w:type="dxa"/>
            <w:vAlign w:val="center"/>
          </w:tcPr>
          <w:p w14:paraId="5767E4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6" w:type="dxa"/>
            <w:vAlign w:val="center"/>
          </w:tcPr>
          <w:p w14:paraId="5FC3CF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531" w:type="dxa"/>
            <w:vAlign w:val="center"/>
          </w:tcPr>
          <w:p w14:paraId="25FBB3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240</w:t>
            </w:r>
          </w:p>
        </w:tc>
        <w:tc>
          <w:tcPr>
            <w:tcW w:w="532" w:type="dxa"/>
            <w:vAlign w:val="center"/>
          </w:tcPr>
          <w:p w14:paraId="14A6DF0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9.0</w:t>
            </w:r>
          </w:p>
        </w:tc>
        <w:tc>
          <w:tcPr>
            <w:tcW w:w="426" w:type="dxa"/>
            <w:vAlign w:val="center"/>
          </w:tcPr>
          <w:p w14:paraId="164BBF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400A5D8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636" w:type="dxa"/>
            <w:vAlign w:val="center"/>
          </w:tcPr>
          <w:p w14:paraId="6B91F8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531" w:type="dxa"/>
            <w:vAlign w:val="center"/>
          </w:tcPr>
          <w:p w14:paraId="0645FF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32" w:type="dxa"/>
            <w:vAlign w:val="center"/>
          </w:tcPr>
          <w:p w14:paraId="6B68D6E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6.0</w:t>
            </w:r>
          </w:p>
        </w:tc>
        <w:tc>
          <w:tcPr>
            <w:tcW w:w="636" w:type="dxa"/>
            <w:vAlign w:val="center"/>
          </w:tcPr>
          <w:p w14:paraId="6CB756D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495" w:type="dxa"/>
            <w:vAlign w:val="center"/>
          </w:tcPr>
          <w:p w14:paraId="25CA61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w:t>
            </w:r>
          </w:p>
        </w:tc>
        <w:tc>
          <w:tcPr>
            <w:tcW w:w="462" w:type="dxa"/>
            <w:vAlign w:val="center"/>
          </w:tcPr>
          <w:p w14:paraId="2E369D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6" w:type="dxa"/>
            <w:vAlign w:val="center"/>
          </w:tcPr>
          <w:p w14:paraId="4E02E1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31" w:type="dxa"/>
            <w:vAlign w:val="center"/>
          </w:tcPr>
          <w:p w14:paraId="32909C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26" w:type="dxa"/>
            <w:vAlign w:val="center"/>
          </w:tcPr>
          <w:p w14:paraId="0A356A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59" w:type="dxa"/>
            <w:vAlign w:val="center"/>
          </w:tcPr>
          <w:p w14:paraId="5DC00B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r>
      <w:tr w14:paraId="1D9A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16B53D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bookmarkStart w:id="20" w:name="_Hlk184942282"/>
            <w:r>
              <w:rPr>
                <w:rFonts w:hint="eastAsia" w:ascii="Times New Roman" w:hAnsi="Times New Roman" w:cs="Times New Roman"/>
                <w:color w:val="000000"/>
                <w:sz w:val="20"/>
                <w:szCs w:val="20"/>
              </w:rPr>
              <w:t>天津市标准（DB12/1120-2022）</w:t>
            </w:r>
          </w:p>
        </w:tc>
        <w:tc>
          <w:tcPr>
            <w:tcW w:w="567" w:type="dxa"/>
            <w:vAlign w:val="center"/>
          </w:tcPr>
          <w:p w14:paraId="7A3F12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67" w:type="dxa"/>
            <w:vAlign w:val="center"/>
          </w:tcPr>
          <w:p w14:paraId="72E853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850" w:type="dxa"/>
            <w:vAlign w:val="center"/>
          </w:tcPr>
          <w:p w14:paraId="3F7360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200</w:t>
            </w:r>
          </w:p>
        </w:tc>
        <w:tc>
          <w:tcPr>
            <w:tcW w:w="567" w:type="dxa"/>
            <w:vAlign w:val="center"/>
          </w:tcPr>
          <w:p w14:paraId="022B31F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1065" w:type="dxa"/>
            <w:vAlign w:val="center"/>
          </w:tcPr>
          <w:p w14:paraId="3F71D2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26" w:type="dxa"/>
            <w:vAlign w:val="center"/>
          </w:tcPr>
          <w:p w14:paraId="5ACC607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426" w:type="dxa"/>
            <w:vAlign w:val="center"/>
          </w:tcPr>
          <w:p w14:paraId="7B767FA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531" w:type="dxa"/>
            <w:vAlign w:val="center"/>
          </w:tcPr>
          <w:p w14:paraId="1182E3E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240</w:t>
            </w:r>
          </w:p>
        </w:tc>
        <w:tc>
          <w:tcPr>
            <w:tcW w:w="532" w:type="dxa"/>
            <w:vAlign w:val="center"/>
          </w:tcPr>
          <w:p w14:paraId="566ED6B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9.0</w:t>
            </w:r>
          </w:p>
        </w:tc>
        <w:tc>
          <w:tcPr>
            <w:tcW w:w="426" w:type="dxa"/>
            <w:vAlign w:val="center"/>
          </w:tcPr>
          <w:p w14:paraId="51326A3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43154EA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636" w:type="dxa"/>
            <w:vAlign w:val="center"/>
          </w:tcPr>
          <w:p w14:paraId="25ABE35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w:t>
            </w:r>
            <w:bookmarkStart w:id="21" w:name="修改"/>
            <w:bookmarkEnd w:id="21"/>
            <w:r>
              <w:rPr>
                <w:rFonts w:hint="eastAsia" w:ascii="Times New Roman" w:hAnsi="Times New Roman" w:cs="Times New Roman"/>
                <w:color w:val="000000"/>
                <w:sz w:val="20"/>
                <w:szCs w:val="20"/>
              </w:rPr>
              <w:t>07</w:t>
            </w:r>
          </w:p>
        </w:tc>
        <w:tc>
          <w:tcPr>
            <w:tcW w:w="531" w:type="dxa"/>
            <w:vAlign w:val="center"/>
          </w:tcPr>
          <w:p w14:paraId="4401310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32" w:type="dxa"/>
            <w:vAlign w:val="center"/>
          </w:tcPr>
          <w:p w14:paraId="6CDB4DA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6.0</w:t>
            </w:r>
          </w:p>
        </w:tc>
        <w:tc>
          <w:tcPr>
            <w:tcW w:w="636" w:type="dxa"/>
            <w:vAlign w:val="center"/>
          </w:tcPr>
          <w:p w14:paraId="6CC7A4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495" w:type="dxa"/>
            <w:vAlign w:val="center"/>
          </w:tcPr>
          <w:p w14:paraId="282C1C0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w:t>
            </w:r>
          </w:p>
        </w:tc>
        <w:tc>
          <w:tcPr>
            <w:tcW w:w="462" w:type="dxa"/>
            <w:vAlign w:val="center"/>
          </w:tcPr>
          <w:p w14:paraId="7E50B8E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25</w:t>
            </w:r>
          </w:p>
        </w:tc>
        <w:tc>
          <w:tcPr>
            <w:tcW w:w="426" w:type="dxa"/>
            <w:vAlign w:val="center"/>
          </w:tcPr>
          <w:p w14:paraId="3882FA9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40</w:t>
            </w:r>
          </w:p>
        </w:tc>
        <w:tc>
          <w:tcPr>
            <w:tcW w:w="431" w:type="dxa"/>
            <w:vAlign w:val="center"/>
          </w:tcPr>
          <w:p w14:paraId="5F458A7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26" w:type="dxa"/>
            <w:vAlign w:val="center"/>
          </w:tcPr>
          <w:p w14:paraId="0D0E4B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59" w:type="dxa"/>
            <w:vAlign w:val="center"/>
          </w:tcPr>
          <w:p w14:paraId="205FE9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r>
      <w:tr w14:paraId="299A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restart"/>
            <w:vAlign w:val="center"/>
          </w:tcPr>
          <w:p w14:paraId="0B664FB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标准</w:t>
            </w:r>
          </w:p>
        </w:tc>
        <w:tc>
          <w:tcPr>
            <w:tcW w:w="1984" w:type="dxa"/>
            <w:gridSpan w:val="3"/>
            <w:vAlign w:val="center"/>
          </w:tcPr>
          <w:p w14:paraId="3FCA35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热处理炉</w:t>
            </w:r>
          </w:p>
          <w:p w14:paraId="03C5ED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（含加热炉）</w:t>
            </w:r>
          </w:p>
        </w:tc>
        <w:tc>
          <w:tcPr>
            <w:tcW w:w="567" w:type="dxa"/>
            <w:vAlign w:val="center"/>
          </w:tcPr>
          <w:p w14:paraId="4161DC1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热轧精轧机</w:t>
            </w:r>
          </w:p>
        </w:tc>
        <w:tc>
          <w:tcPr>
            <w:tcW w:w="1065" w:type="dxa"/>
            <w:vAlign w:val="center"/>
          </w:tcPr>
          <w:p w14:paraId="1DF166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拉矫、精整、抛丸、修磨、焊接机及其他生产设施</w:t>
            </w:r>
          </w:p>
        </w:tc>
        <w:tc>
          <w:tcPr>
            <w:tcW w:w="1915" w:type="dxa"/>
            <w:gridSpan w:val="4"/>
            <w:vAlign w:val="center"/>
          </w:tcPr>
          <w:p w14:paraId="1E45ED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废酸再生</w:t>
            </w:r>
          </w:p>
        </w:tc>
        <w:tc>
          <w:tcPr>
            <w:tcW w:w="2551" w:type="dxa"/>
            <w:gridSpan w:val="5"/>
            <w:vAlign w:val="center"/>
          </w:tcPr>
          <w:p w14:paraId="2054AEC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酸洗机组</w:t>
            </w:r>
          </w:p>
        </w:tc>
        <w:tc>
          <w:tcPr>
            <w:tcW w:w="2450" w:type="dxa"/>
            <w:gridSpan w:val="5"/>
            <w:vAlign w:val="center"/>
          </w:tcPr>
          <w:p w14:paraId="4109B28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涂（镀）层机组</w:t>
            </w:r>
          </w:p>
        </w:tc>
        <w:tc>
          <w:tcPr>
            <w:tcW w:w="426" w:type="dxa"/>
            <w:vAlign w:val="center"/>
          </w:tcPr>
          <w:p w14:paraId="2627D0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脱脂</w:t>
            </w:r>
          </w:p>
        </w:tc>
        <w:tc>
          <w:tcPr>
            <w:tcW w:w="459" w:type="dxa"/>
            <w:vAlign w:val="center"/>
          </w:tcPr>
          <w:p w14:paraId="03640C9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轧制机组</w:t>
            </w:r>
          </w:p>
        </w:tc>
      </w:tr>
      <w:tr w14:paraId="6DC0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continue"/>
            <w:vAlign w:val="center"/>
          </w:tcPr>
          <w:p w14:paraId="7982276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p>
        </w:tc>
        <w:tc>
          <w:tcPr>
            <w:tcW w:w="567" w:type="dxa"/>
            <w:vAlign w:val="center"/>
          </w:tcPr>
          <w:p w14:paraId="10CA13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567" w:type="dxa"/>
            <w:vAlign w:val="center"/>
          </w:tcPr>
          <w:p w14:paraId="4F5058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二氧化硫</w:t>
            </w:r>
          </w:p>
        </w:tc>
        <w:tc>
          <w:tcPr>
            <w:tcW w:w="850" w:type="dxa"/>
            <w:vAlign w:val="center"/>
          </w:tcPr>
          <w:p w14:paraId="0A8475E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氮氧化物</w:t>
            </w:r>
          </w:p>
        </w:tc>
        <w:tc>
          <w:tcPr>
            <w:tcW w:w="567" w:type="dxa"/>
            <w:vAlign w:val="center"/>
          </w:tcPr>
          <w:p w14:paraId="51584BD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1065" w:type="dxa"/>
            <w:vAlign w:val="center"/>
          </w:tcPr>
          <w:p w14:paraId="3865A1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426" w:type="dxa"/>
            <w:vAlign w:val="center"/>
          </w:tcPr>
          <w:p w14:paraId="0582CB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颗粒物</w:t>
            </w:r>
          </w:p>
        </w:tc>
        <w:tc>
          <w:tcPr>
            <w:tcW w:w="426" w:type="dxa"/>
            <w:vAlign w:val="center"/>
          </w:tcPr>
          <w:p w14:paraId="7C3D5E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氯化氢</w:t>
            </w:r>
          </w:p>
        </w:tc>
        <w:tc>
          <w:tcPr>
            <w:tcW w:w="531" w:type="dxa"/>
            <w:vAlign w:val="center"/>
          </w:tcPr>
          <w:p w14:paraId="6D572D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硝酸雾</w:t>
            </w:r>
          </w:p>
        </w:tc>
        <w:tc>
          <w:tcPr>
            <w:tcW w:w="532" w:type="dxa"/>
            <w:vAlign w:val="center"/>
          </w:tcPr>
          <w:p w14:paraId="4C7666B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氟化物</w:t>
            </w:r>
          </w:p>
        </w:tc>
        <w:tc>
          <w:tcPr>
            <w:tcW w:w="426" w:type="dxa"/>
            <w:vAlign w:val="center"/>
          </w:tcPr>
          <w:p w14:paraId="2BDA5E6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氯化氢</w:t>
            </w:r>
          </w:p>
        </w:tc>
        <w:tc>
          <w:tcPr>
            <w:tcW w:w="426" w:type="dxa"/>
            <w:vAlign w:val="center"/>
          </w:tcPr>
          <w:p w14:paraId="543F78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硫酸雾</w:t>
            </w:r>
          </w:p>
        </w:tc>
        <w:tc>
          <w:tcPr>
            <w:tcW w:w="636" w:type="dxa"/>
            <w:vAlign w:val="center"/>
          </w:tcPr>
          <w:p w14:paraId="624FE7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铬酸雾</w:t>
            </w:r>
          </w:p>
        </w:tc>
        <w:tc>
          <w:tcPr>
            <w:tcW w:w="531" w:type="dxa"/>
            <w:vAlign w:val="center"/>
          </w:tcPr>
          <w:p w14:paraId="046D38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硝酸雾</w:t>
            </w:r>
          </w:p>
        </w:tc>
        <w:tc>
          <w:tcPr>
            <w:tcW w:w="532" w:type="dxa"/>
            <w:vAlign w:val="center"/>
          </w:tcPr>
          <w:p w14:paraId="5B4AA4E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氟化物</w:t>
            </w:r>
          </w:p>
        </w:tc>
        <w:tc>
          <w:tcPr>
            <w:tcW w:w="636" w:type="dxa"/>
            <w:vAlign w:val="center"/>
          </w:tcPr>
          <w:p w14:paraId="4F8B449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铬酸雾</w:t>
            </w:r>
          </w:p>
        </w:tc>
        <w:tc>
          <w:tcPr>
            <w:tcW w:w="495" w:type="dxa"/>
            <w:vAlign w:val="center"/>
          </w:tcPr>
          <w:p w14:paraId="08D9E6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苯</w:t>
            </w:r>
          </w:p>
        </w:tc>
        <w:tc>
          <w:tcPr>
            <w:tcW w:w="462" w:type="dxa"/>
            <w:vAlign w:val="center"/>
          </w:tcPr>
          <w:p w14:paraId="15268F9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甲苯</w:t>
            </w:r>
          </w:p>
        </w:tc>
        <w:tc>
          <w:tcPr>
            <w:tcW w:w="426" w:type="dxa"/>
            <w:vAlign w:val="center"/>
          </w:tcPr>
          <w:p w14:paraId="6107269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二甲苯</w:t>
            </w:r>
          </w:p>
        </w:tc>
        <w:tc>
          <w:tcPr>
            <w:tcW w:w="431" w:type="dxa"/>
            <w:vAlign w:val="center"/>
          </w:tcPr>
          <w:p w14:paraId="3A6DAE7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非甲烷总烃</w:t>
            </w:r>
          </w:p>
        </w:tc>
        <w:tc>
          <w:tcPr>
            <w:tcW w:w="426" w:type="dxa"/>
            <w:vAlign w:val="center"/>
          </w:tcPr>
          <w:p w14:paraId="59A69B0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碱雾</w:t>
            </w:r>
          </w:p>
        </w:tc>
        <w:tc>
          <w:tcPr>
            <w:tcW w:w="459" w:type="dxa"/>
            <w:vAlign w:val="center"/>
          </w:tcPr>
          <w:p w14:paraId="57E694D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油雾</w:t>
            </w:r>
          </w:p>
        </w:tc>
      </w:tr>
      <w:tr w14:paraId="591D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746D4B0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辽宁省标准</w:t>
            </w:r>
          </w:p>
          <w:p w14:paraId="63C84E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（DB21/4119-2025）</w:t>
            </w:r>
          </w:p>
        </w:tc>
        <w:tc>
          <w:tcPr>
            <w:tcW w:w="567" w:type="dxa"/>
            <w:vAlign w:val="center"/>
          </w:tcPr>
          <w:p w14:paraId="7D14BFB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67" w:type="dxa"/>
            <w:vAlign w:val="center"/>
          </w:tcPr>
          <w:p w14:paraId="1CEB32D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850" w:type="dxa"/>
            <w:vAlign w:val="center"/>
          </w:tcPr>
          <w:p w14:paraId="2B7A55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200</w:t>
            </w:r>
          </w:p>
        </w:tc>
        <w:tc>
          <w:tcPr>
            <w:tcW w:w="567" w:type="dxa"/>
            <w:vAlign w:val="center"/>
          </w:tcPr>
          <w:p w14:paraId="734A5A7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1065" w:type="dxa"/>
            <w:vAlign w:val="center"/>
          </w:tcPr>
          <w:p w14:paraId="461A010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30D524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426" w:type="dxa"/>
            <w:vAlign w:val="center"/>
          </w:tcPr>
          <w:p w14:paraId="185C1D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30</w:t>
            </w:r>
          </w:p>
        </w:tc>
        <w:tc>
          <w:tcPr>
            <w:tcW w:w="531" w:type="dxa"/>
            <w:vAlign w:val="center"/>
          </w:tcPr>
          <w:p w14:paraId="52536C2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240</w:t>
            </w:r>
          </w:p>
        </w:tc>
        <w:tc>
          <w:tcPr>
            <w:tcW w:w="532" w:type="dxa"/>
            <w:vAlign w:val="center"/>
          </w:tcPr>
          <w:p w14:paraId="5B03385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9</w:t>
            </w:r>
          </w:p>
        </w:tc>
        <w:tc>
          <w:tcPr>
            <w:tcW w:w="426" w:type="dxa"/>
            <w:vAlign w:val="center"/>
          </w:tcPr>
          <w:p w14:paraId="4F9F86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w:t>
            </w:r>
          </w:p>
        </w:tc>
        <w:tc>
          <w:tcPr>
            <w:tcW w:w="426" w:type="dxa"/>
            <w:vAlign w:val="center"/>
          </w:tcPr>
          <w:p w14:paraId="7DD2F82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636" w:type="dxa"/>
            <w:vAlign w:val="center"/>
          </w:tcPr>
          <w:p w14:paraId="17E9C0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531" w:type="dxa"/>
            <w:vAlign w:val="center"/>
          </w:tcPr>
          <w:p w14:paraId="7064D2B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150</w:t>
            </w:r>
          </w:p>
        </w:tc>
        <w:tc>
          <w:tcPr>
            <w:tcW w:w="532" w:type="dxa"/>
            <w:vAlign w:val="center"/>
          </w:tcPr>
          <w:p w14:paraId="01F1C2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6</w:t>
            </w:r>
          </w:p>
        </w:tc>
        <w:tc>
          <w:tcPr>
            <w:tcW w:w="636" w:type="dxa"/>
            <w:vAlign w:val="center"/>
          </w:tcPr>
          <w:p w14:paraId="4A3C6F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0.07</w:t>
            </w:r>
          </w:p>
        </w:tc>
        <w:tc>
          <w:tcPr>
            <w:tcW w:w="495" w:type="dxa"/>
            <w:vAlign w:val="center"/>
          </w:tcPr>
          <w:p w14:paraId="04284F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w:t>
            </w:r>
          </w:p>
        </w:tc>
        <w:tc>
          <w:tcPr>
            <w:tcW w:w="888" w:type="dxa"/>
            <w:gridSpan w:val="2"/>
            <w:vAlign w:val="center"/>
          </w:tcPr>
          <w:p w14:paraId="645975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苯系物</w:t>
            </w:r>
          </w:p>
          <w:p w14:paraId="550BFB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c>
          <w:tcPr>
            <w:tcW w:w="431" w:type="dxa"/>
            <w:vAlign w:val="center"/>
          </w:tcPr>
          <w:p w14:paraId="3CFA1F9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426" w:type="dxa"/>
            <w:vAlign w:val="center"/>
          </w:tcPr>
          <w:p w14:paraId="1B7D446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459" w:type="dxa"/>
            <w:vAlign w:val="center"/>
          </w:tcPr>
          <w:p w14:paraId="27F7A98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w:t>
            </w:r>
          </w:p>
        </w:tc>
      </w:tr>
      <w:tr w14:paraId="62C0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6AA347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bookmarkStart w:id="22" w:name="_Hlk217051689"/>
            <w:r>
              <w:rPr>
                <w:rFonts w:hint="eastAsia" w:ascii="Times New Roman" w:hAnsi="Times New Roman" w:cs="Times New Roman"/>
                <w:color w:val="000000"/>
                <w:sz w:val="20"/>
                <w:szCs w:val="20"/>
              </w:rPr>
              <w:t>超低意见</w:t>
            </w:r>
          </w:p>
        </w:tc>
        <w:tc>
          <w:tcPr>
            <w:tcW w:w="567" w:type="dxa"/>
            <w:vAlign w:val="center"/>
          </w:tcPr>
          <w:p w14:paraId="24D6183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10</w:t>
            </w:r>
          </w:p>
        </w:tc>
        <w:tc>
          <w:tcPr>
            <w:tcW w:w="567" w:type="dxa"/>
            <w:vAlign w:val="center"/>
          </w:tcPr>
          <w:p w14:paraId="6CAD564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50</w:t>
            </w:r>
          </w:p>
        </w:tc>
        <w:tc>
          <w:tcPr>
            <w:tcW w:w="850" w:type="dxa"/>
            <w:vAlign w:val="center"/>
          </w:tcPr>
          <w:p w14:paraId="4CEB76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200</w:t>
            </w:r>
          </w:p>
        </w:tc>
        <w:tc>
          <w:tcPr>
            <w:tcW w:w="567" w:type="dxa"/>
            <w:vAlign w:val="center"/>
          </w:tcPr>
          <w:p w14:paraId="5ADCFF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1065" w:type="dxa"/>
            <w:vAlign w:val="center"/>
          </w:tcPr>
          <w:p w14:paraId="36EA7E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26" w:type="dxa"/>
            <w:vAlign w:val="center"/>
          </w:tcPr>
          <w:p w14:paraId="69444C9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26" w:type="dxa"/>
            <w:vAlign w:val="center"/>
          </w:tcPr>
          <w:p w14:paraId="3D581D1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531" w:type="dxa"/>
            <w:vAlign w:val="center"/>
          </w:tcPr>
          <w:p w14:paraId="7844405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532" w:type="dxa"/>
            <w:vAlign w:val="center"/>
          </w:tcPr>
          <w:p w14:paraId="68F72DA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26" w:type="dxa"/>
            <w:vAlign w:val="center"/>
          </w:tcPr>
          <w:p w14:paraId="62B546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26" w:type="dxa"/>
            <w:vAlign w:val="center"/>
          </w:tcPr>
          <w:p w14:paraId="780B0F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636" w:type="dxa"/>
            <w:vAlign w:val="center"/>
          </w:tcPr>
          <w:p w14:paraId="6C6516F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531" w:type="dxa"/>
            <w:vAlign w:val="center"/>
          </w:tcPr>
          <w:p w14:paraId="583BC6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532" w:type="dxa"/>
            <w:vAlign w:val="center"/>
          </w:tcPr>
          <w:p w14:paraId="473C8DA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636" w:type="dxa"/>
            <w:vAlign w:val="center"/>
          </w:tcPr>
          <w:p w14:paraId="451427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95" w:type="dxa"/>
            <w:vAlign w:val="center"/>
          </w:tcPr>
          <w:p w14:paraId="02724A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62" w:type="dxa"/>
            <w:vAlign w:val="center"/>
          </w:tcPr>
          <w:p w14:paraId="2B5103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26" w:type="dxa"/>
            <w:vAlign w:val="center"/>
          </w:tcPr>
          <w:p w14:paraId="13BE96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31" w:type="dxa"/>
            <w:vAlign w:val="center"/>
          </w:tcPr>
          <w:p w14:paraId="772BF1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26" w:type="dxa"/>
            <w:vAlign w:val="center"/>
          </w:tcPr>
          <w:p w14:paraId="2C18969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c>
          <w:tcPr>
            <w:tcW w:w="459" w:type="dxa"/>
            <w:vAlign w:val="center"/>
          </w:tcPr>
          <w:p w14:paraId="3177629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20"/>
              </w:rPr>
            </w:pPr>
            <w:r>
              <w:rPr>
                <w:rFonts w:hint="eastAsia" w:ascii="Times New Roman" w:hAnsi="Times New Roman" w:cs="Times New Roman"/>
                <w:color w:val="000000"/>
                <w:sz w:val="20"/>
                <w:szCs w:val="20"/>
              </w:rPr>
              <w:t>-</w:t>
            </w:r>
          </w:p>
        </w:tc>
      </w:tr>
      <w:bookmarkEnd w:id="20"/>
      <w:bookmarkEnd w:id="22"/>
    </w:tbl>
    <w:p w14:paraId="6A782D20">
      <w:pPr>
        <w:pStyle w:val="13"/>
        <w:spacing w:line="360" w:lineRule="auto"/>
        <w:ind w:firstLine="480"/>
        <w:rPr>
          <w:rFonts w:ascii="Times New Roman" w:hAnsi="Times New Roman"/>
        </w:rPr>
        <w:sectPr>
          <w:pgSz w:w="16838" w:h="11906" w:orient="landscape"/>
          <w:pgMar w:top="1800" w:right="1440" w:bottom="1800" w:left="1440" w:header="851" w:footer="992" w:gutter="0"/>
          <w:cols w:space="425" w:num="1"/>
          <w:docGrid w:type="lines" w:linePitch="312" w:charSpace="0"/>
        </w:sectPr>
      </w:pPr>
    </w:p>
    <w:p w14:paraId="19181280">
      <w:pPr>
        <w:pStyle w:val="37"/>
        <w:spacing w:before="156"/>
        <w:ind w:left="0"/>
      </w:pPr>
      <w:bookmarkStart w:id="23" w:name="_Toc217058289"/>
      <w:r>
        <w:t>4.3 行业产排污现状</w:t>
      </w:r>
      <w:bookmarkEnd w:id="23"/>
    </w:p>
    <w:p w14:paraId="1A79A935">
      <w:pPr>
        <w:pStyle w:val="13"/>
        <w:spacing w:line="360" w:lineRule="auto"/>
        <w:ind w:firstLine="480"/>
        <w:jc w:val="both"/>
        <w:rPr>
          <w:rFonts w:ascii="Times New Roman" w:hAnsi="Times New Roman"/>
        </w:rPr>
      </w:pPr>
      <w:r>
        <w:rPr>
          <w:rFonts w:ascii="Times New Roman" w:hAnsi="Times New Roman"/>
        </w:rPr>
        <w:t>我国钢铁企业主要以长流程钢铁企业、短流程钢铁企业为主。其中长流程钢铁企业以铁矿石为主要生产原料，包含备料、烧结（球团）、炼焦、高炉炼铁、转炉炼钢、轧钢、石灰窑、自备电厂等生产工序单元。短流程钢铁企业以废钢为主要原料，包含电炉炼钢、轧钢、石灰窑等生产工序单元。</w:t>
      </w:r>
    </w:p>
    <w:p w14:paraId="799723B2">
      <w:pPr>
        <w:pStyle w:val="13"/>
        <w:spacing w:line="360" w:lineRule="auto"/>
        <w:ind w:firstLine="480"/>
        <w:rPr>
          <w:rFonts w:ascii="Times New Roman" w:hAnsi="Times New Roman"/>
        </w:rPr>
      </w:pPr>
      <w:r>
        <w:rPr>
          <w:rFonts w:ascii="Times New Roman" w:hAnsi="Times New Roman"/>
        </w:rPr>
        <w:t>其主要生产流程见图4-1。</w:t>
      </w:r>
    </w:p>
    <w:p w14:paraId="2AA0FDD1">
      <w:pPr>
        <w:ind w:firstLine="640"/>
        <w:rPr>
          <w:rFonts w:ascii="Times New Roman" w:hAnsi="Times New Roman" w:eastAsia="仿宋_GB2312" w:cs="Times New Roman"/>
          <w:bCs/>
          <w:sz w:val="28"/>
          <w:szCs w:val="28"/>
        </w:rPr>
      </w:pPr>
      <w:r>
        <w:rPr>
          <w:rFonts w:ascii="Times New Roman" w:hAnsi="Times New Roman" w:eastAsia="仿宋_GB2312" w:cs="Times New Roman"/>
          <w:bCs/>
          <w:sz w:val="28"/>
          <w:szCs w:val="28"/>
        </w:rPr>
        <mc:AlternateContent>
          <mc:Choice Requires="wpg">
            <w:drawing>
              <wp:inline distT="0" distB="0" distL="0" distR="0">
                <wp:extent cx="5375275" cy="5331460"/>
                <wp:effectExtent l="9525" t="0" r="0" b="2540"/>
                <wp:docPr id="740787257" name="组合 3"/>
                <wp:cNvGraphicFramePr/>
                <a:graphic xmlns:a="http://schemas.openxmlformats.org/drawingml/2006/main">
                  <a:graphicData uri="http://schemas.microsoft.com/office/word/2010/wordprocessingGroup">
                    <wpg:wgp>
                      <wpg:cNvGrpSpPr/>
                      <wpg:grpSpPr>
                        <a:xfrm>
                          <a:off x="0" y="0"/>
                          <a:ext cx="5375275" cy="5331460"/>
                          <a:chOff x="0" y="0"/>
                          <a:chExt cx="5375487" cy="5331498"/>
                        </a:xfrm>
                      </wpg:grpSpPr>
                      <wps:wsp>
                        <wps:cNvPr id="1990050828" name="文本框 37247"/>
                        <wps:cNvSpPr txBox="1">
                          <a:spLocks noChangeArrowheads="1"/>
                        </wps:cNvSpPr>
                        <wps:spPr bwMode="auto">
                          <a:xfrm>
                            <a:off x="2023533" y="1786467"/>
                            <a:ext cx="432435" cy="168157"/>
                          </a:xfrm>
                          <a:prstGeom prst="rect">
                            <a:avLst/>
                          </a:prstGeom>
                          <a:noFill/>
                          <a:ln>
                            <a:noFill/>
                          </a:ln>
                        </wps:spPr>
                        <wps:txbx>
                          <w:txbxContent>
                            <w:p w14:paraId="2C802D89">
                              <w:pPr>
                                <w:spacing w:line="0" w:lineRule="atLeast"/>
                                <w:jc w:val="center"/>
                                <w:rPr>
                                  <w:spacing w:val="-10"/>
                                  <w:szCs w:val="21"/>
                                </w:rPr>
                              </w:pPr>
                              <w:r>
                                <w:rPr>
                                  <w:rFonts w:hint="eastAsia"/>
                                  <w:spacing w:val="-10"/>
                                  <w:szCs w:val="21"/>
                                </w:rPr>
                                <w:t>铁水</w:t>
                              </w:r>
                            </w:p>
                          </w:txbxContent>
                        </wps:txbx>
                        <wps:bodyPr rot="0" vert="horz" wrap="square" lIns="0" tIns="0" rIns="0" bIns="0" anchor="t" anchorCtr="0" upright="1">
                          <a:noAutofit/>
                        </wps:bodyPr>
                      </wps:wsp>
                      <wps:wsp>
                        <wps:cNvPr id="168896016" name="直线 37271"/>
                        <wps:cNvCnPr>
                          <a:cxnSpLocks noChangeShapeType="1"/>
                        </wps:cNvCnPr>
                        <wps:spPr bwMode="auto">
                          <a:xfrm flipV="1">
                            <a:off x="2590800" y="491067"/>
                            <a:ext cx="2009140" cy="0"/>
                          </a:xfrm>
                          <a:prstGeom prst="line">
                            <a:avLst/>
                          </a:prstGeom>
                          <a:noFill/>
                          <a:ln w="6350">
                            <a:solidFill>
                              <a:srgbClr val="000000"/>
                            </a:solidFill>
                            <a:round/>
                            <a:tailEnd type="none" w="sm" len="sm"/>
                          </a:ln>
                          <a:effectLst/>
                        </wps:spPr>
                        <wps:bodyPr/>
                      </wps:wsp>
                      <wps:wsp>
                        <wps:cNvPr id="172359359" name="直线 37272"/>
                        <wps:cNvCnPr>
                          <a:cxnSpLocks noChangeShapeType="1"/>
                        </wps:cNvCnPr>
                        <wps:spPr bwMode="auto">
                          <a:xfrm>
                            <a:off x="2595033" y="203200"/>
                            <a:ext cx="0" cy="287655"/>
                          </a:xfrm>
                          <a:prstGeom prst="line">
                            <a:avLst/>
                          </a:prstGeom>
                          <a:noFill/>
                          <a:ln w="6350">
                            <a:solidFill>
                              <a:srgbClr val="000000"/>
                            </a:solidFill>
                            <a:round/>
                            <a:tailEnd type="stealth" w="sm" len="sm"/>
                          </a:ln>
                          <a:effectLst/>
                        </wps:spPr>
                        <wps:bodyPr/>
                      </wps:wsp>
                      <wps:wsp>
                        <wps:cNvPr id="1817087442" name="文本框 37273"/>
                        <wps:cNvSpPr txBox="1">
                          <a:spLocks noChangeArrowheads="1"/>
                        </wps:cNvSpPr>
                        <wps:spPr bwMode="auto">
                          <a:xfrm>
                            <a:off x="2159000" y="16933"/>
                            <a:ext cx="833120" cy="226060"/>
                          </a:xfrm>
                          <a:prstGeom prst="rect">
                            <a:avLst/>
                          </a:prstGeom>
                          <a:noFill/>
                          <a:ln>
                            <a:noFill/>
                          </a:ln>
                        </wps:spPr>
                        <wps:txbx>
                          <w:txbxContent>
                            <w:p w14:paraId="68C9017C">
                              <w:pPr>
                                <w:spacing w:line="0" w:lineRule="atLeast"/>
                                <w:jc w:val="center"/>
                                <w:rPr>
                                  <w:spacing w:val="-10"/>
                                  <w:sz w:val="23"/>
                                  <w:szCs w:val="23"/>
                                </w:rPr>
                              </w:pPr>
                              <w:r>
                                <w:rPr>
                                  <w:rFonts w:hint="eastAsia"/>
                                  <w:spacing w:val="-10"/>
                                  <w:sz w:val="23"/>
                                  <w:szCs w:val="23"/>
                                </w:rPr>
                                <w:t>混匀含铁料</w:t>
                              </w:r>
                            </w:p>
                          </w:txbxContent>
                        </wps:txbx>
                        <wps:bodyPr rot="0" vert="horz" wrap="square" lIns="0" tIns="0" rIns="0" bIns="0" anchor="t" anchorCtr="0" upright="1">
                          <a:noAutofit/>
                        </wps:bodyPr>
                      </wps:wsp>
                      <wps:wsp>
                        <wps:cNvPr id="967386858" name="直线 37274"/>
                        <wps:cNvCnPr>
                          <a:cxnSpLocks noChangeShapeType="1"/>
                        </wps:cNvCnPr>
                        <wps:spPr bwMode="auto">
                          <a:xfrm>
                            <a:off x="3263900" y="220133"/>
                            <a:ext cx="0" cy="287655"/>
                          </a:xfrm>
                          <a:prstGeom prst="line">
                            <a:avLst/>
                          </a:prstGeom>
                          <a:noFill/>
                          <a:ln w="6350">
                            <a:solidFill>
                              <a:srgbClr val="000000"/>
                            </a:solidFill>
                            <a:round/>
                            <a:tailEnd type="stealth" w="sm" len="sm"/>
                          </a:ln>
                          <a:effectLst/>
                        </wps:spPr>
                        <wps:bodyPr/>
                      </wps:wsp>
                      <wps:wsp>
                        <wps:cNvPr id="523090718" name="直线 37275"/>
                        <wps:cNvCnPr>
                          <a:cxnSpLocks noChangeShapeType="1"/>
                        </wps:cNvCnPr>
                        <wps:spPr bwMode="auto">
                          <a:xfrm>
                            <a:off x="4584700" y="194733"/>
                            <a:ext cx="0" cy="287655"/>
                          </a:xfrm>
                          <a:prstGeom prst="line">
                            <a:avLst/>
                          </a:prstGeom>
                          <a:noFill/>
                          <a:ln w="6350">
                            <a:solidFill>
                              <a:srgbClr val="000000"/>
                            </a:solidFill>
                            <a:round/>
                            <a:tailEnd type="stealth" w="sm" len="sm"/>
                          </a:ln>
                          <a:effectLst/>
                        </wps:spPr>
                        <wps:bodyPr/>
                      </wps:wsp>
                      <wps:wsp>
                        <wps:cNvPr id="318534119" name="文本框 37276"/>
                        <wps:cNvSpPr txBox="1">
                          <a:spLocks noChangeArrowheads="1"/>
                        </wps:cNvSpPr>
                        <wps:spPr bwMode="auto">
                          <a:xfrm>
                            <a:off x="2921000" y="16933"/>
                            <a:ext cx="688340" cy="226060"/>
                          </a:xfrm>
                          <a:prstGeom prst="rect">
                            <a:avLst/>
                          </a:prstGeom>
                          <a:noFill/>
                          <a:ln>
                            <a:noFill/>
                          </a:ln>
                        </wps:spPr>
                        <wps:txbx>
                          <w:txbxContent>
                            <w:p w14:paraId="779582AF">
                              <w:pPr>
                                <w:spacing w:line="0" w:lineRule="atLeast"/>
                                <w:jc w:val="center"/>
                                <w:rPr>
                                  <w:spacing w:val="-10"/>
                                  <w:sz w:val="23"/>
                                  <w:szCs w:val="23"/>
                                </w:rPr>
                              </w:pPr>
                              <w:r>
                                <w:rPr>
                                  <w:rFonts w:hint="eastAsia"/>
                                  <w:spacing w:val="-10"/>
                                  <w:sz w:val="23"/>
                                  <w:szCs w:val="23"/>
                                </w:rPr>
                                <w:t>返矿</w:t>
                              </w:r>
                            </w:p>
                          </w:txbxContent>
                        </wps:txbx>
                        <wps:bodyPr rot="0" vert="horz" wrap="square" lIns="0" tIns="0" rIns="0" bIns="0" anchor="t" anchorCtr="0" upright="1">
                          <a:noAutofit/>
                        </wps:bodyPr>
                      </wps:wsp>
                      <wps:wsp>
                        <wps:cNvPr id="1515725718" name="文本框 37277"/>
                        <wps:cNvSpPr txBox="1">
                          <a:spLocks noChangeArrowheads="1"/>
                        </wps:cNvSpPr>
                        <wps:spPr bwMode="auto">
                          <a:xfrm>
                            <a:off x="4318000" y="0"/>
                            <a:ext cx="499745" cy="226060"/>
                          </a:xfrm>
                          <a:prstGeom prst="rect">
                            <a:avLst/>
                          </a:prstGeom>
                          <a:noFill/>
                          <a:ln>
                            <a:noFill/>
                          </a:ln>
                        </wps:spPr>
                        <wps:txbx>
                          <w:txbxContent>
                            <w:p w14:paraId="0EC14134">
                              <w:pPr>
                                <w:spacing w:line="0" w:lineRule="atLeast"/>
                                <w:jc w:val="center"/>
                                <w:rPr>
                                  <w:spacing w:val="-10"/>
                                  <w:sz w:val="23"/>
                                  <w:szCs w:val="23"/>
                                </w:rPr>
                              </w:pPr>
                              <w:r>
                                <w:rPr>
                                  <w:rFonts w:hint="eastAsia"/>
                                  <w:spacing w:val="-10"/>
                                  <w:sz w:val="23"/>
                                  <w:szCs w:val="23"/>
                                </w:rPr>
                                <w:t>焦粉</w:t>
                              </w:r>
                            </w:p>
                          </w:txbxContent>
                        </wps:txbx>
                        <wps:bodyPr rot="0" vert="horz" wrap="square" lIns="0" tIns="0" rIns="0" bIns="0" anchor="t" anchorCtr="0" upright="1">
                          <a:noAutofit/>
                        </wps:bodyPr>
                      </wps:wsp>
                      <wps:wsp>
                        <wps:cNvPr id="2135384432" name="文本框 37279"/>
                        <wps:cNvSpPr txBox="1">
                          <a:spLocks noChangeArrowheads="1"/>
                        </wps:cNvSpPr>
                        <wps:spPr bwMode="auto">
                          <a:xfrm>
                            <a:off x="3073400" y="694267"/>
                            <a:ext cx="1317625" cy="226060"/>
                          </a:xfrm>
                          <a:prstGeom prst="rect">
                            <a:avLst/>
                          </a:prstGeom>
                          <a:noFill/>
                          <a:ln w="6350">
                            <a:solidFill>
                              <a:srgbClr val="000000"/>
                            </a:solidFill>
                            <a:miter lim="800000"/>
                            <a:tailEnd type="none" w="sm" len="sm"/>
                          </a:ln>
                          <a:effectLst/>
                        </wps:spPr>
                        <wps:txbx>
                          <w:txbxContent>
                            <w:p w14:paraId="21935064">
                              <w:pPr>
                                <w:spacing w:line="0" w:lineRule="atLeast"/>
                                <w:jc w:val="center"/>
                                <w:rPr>
                                  <w:b/>
                                  <w:bCs/>
                                  <w:spacing w:val="-10"/>
                                  <w:sz w:val="23"/>
                                  <w:szCs w:val="23"/>
                                </w:rPr>
                              </w:pPr>
                              <w:r>
                                <w:rPr>
                                  <w:rFonts w:hint="eastAsia"/>
                                  <w:b/>
                                  <w:bCs/>
                                  <w:spacing w:val="-10"/>
                                  <w:sz w:val="23"/>
                                  <w:szCs w:val="23"/>
                                </w:rPr>
                                <w:t>烧结机</w:t>
                              </w:r>
                            </w:p>
                          </w:txbxContent>
                        </wps:txbx>
                        <wps:bodyPr rot="0" vert="horz" wrap="square" lIns="0" tIns="0" rIns="0" bIns="0" anchor="t" anchorCtr="0" upright="1">
                          <a:noAutofit/>
                        </wps:bodyPr>
                      </wps:wsp>
                      <wps:wsp>
                        <wps:cNvPr id="467639703" name="文本框 37280"/>
                        <wps:cNvSpPr txBox="1">
                          <a:spLocks noChangeArrowheads="1"/>
                        </wps:cNvSpPr>
                        <wps:spPr bwMode="auto">
                          <a:xfrm>
                            <a:off x="1727200" y="1532467"/>
                            <a:ext cx="1308735" cy="226098"/>
                          </a:xfrm>
                          <a:prstGeom prst="rect">
                            <a:avLst/>
                          </a:prstGeom>
                          <a:noFill/>
                          <a:ln w="6350">
                            <a:solidFill>
                              <a:srgbClr val="000000"/>
                            </a:solidFill>
                            <a:miter lim="800000"/>
                            <a:tailEnd type="none" w="sm" len="sm"/>
                          </a:ln>
                          <a:effectLst/>
                        </wps:spPr>
                        <wps:txbx>
                          <w:txbxContent>
                            <w:p w14:paraId="37F5757B">
                              <w:pPr>
                                <w:spacing w:line="0" w:lineRule="atLeast"/>
                                <w:jc w:val="center"/>
                                <w:rPr>
                                  <w:b/>
                                  <w:bCs/>
                                  <w:spacing w:val="-10"/>
                                  <w:sz w:val="23"/>
                                  <w:szCs w:val="23"/>
                                </w:rPr>
                              </w:pPr>
                              <w:r>
                                <w:rPr>
                                  <w:rFonts w:hint="eastAsia"/>
                                  <w:b/>
                                  <w:bCs/>
                                  <w:spacing w:val="-10"/>
                                  <w:sz w:val="23"/>
                                  <w:szCs w:val="23"/>
                                </w:rPr>
                                <w:t>高炉</w:t>
                              </w:r>
                            </w:p>
                          </w:txbxContent>
                        </wps:txbx>
                        <wps:bodyPr rot="0" vert="horz" wrap="square" lIns="0" tIns="0" rIns="0" bIns="0" anchor="t" anchorCtr="0" upright="1">
                          <a:noAutofit/>
                        </wps:bodyPr>
                      </wps:wsp>
                      <wps:wsp>
                        <wps:cNvPr id="172976297" name="直线 37283"/>
                        <wps:cNvCnPr>
                          <a:cxnSpLocks noChangeShapeType="1"/>
                        </wps:cNvCnPr>
                        <wps:spPr bwMode="auto">
                          <a:xfrm>
                            <a:off x="2391833" y="1752600"/>
                            <a:ext cx="0" cy="318049"/>
                          </a:xfrm>
                          <a:prstGeom prst="line">
                            <a:avLst/>
                          </a:prstGeom>
                          <a:noFill/>
                          <a:ln w="6350">
                            <a:solidFill>
                              <a:srgbClr val="000000"/>
                            </a:solidFill>
                            <a:round/>
                            <a:tailEnd type="stealth" w="sm" len="sm"/>
                          </a:ln>
                          <a:effectLst/>
                        </wps:spPr>
                        <wps:bodyPr/>
                      </wps:wsp>
                      <wps:wsp>
                        <wps:cNvPr id="1517005620" name="文本框 37286"/>
                        <wps:cNvSpPr txBox="1">
                          <a:spLocks noChangeArrowheads="1"/>
                        </wps:cNvSpPr>
                        <wps:spPr bwMode="auto">
                          <a:xfrm>
                            <a:off x="1744133" y="745067"/>
                            <a:ext cx="688340" cy="226060"/>
                          </a:xfrm>
                          <a:prstGeom prst="rect">
                            <a:avLst/>
                          </a:prstGeom>
                          <a:noFill/>
                          <a:ln>
                            <a:noFill/>
                          </a:ln>
                        </wps:spPr>
                        <wps:txbx>
                          <w:txbxContent>
                            <w:p w14:paraId="32C7DAEF">
                              <w:pPr>
                                <w:spacing w:line="0" w:lineRule="atLeast"/>
                                <w:jc w:val="center"/>
                                <w:rPr>
                                  <w:spacing w:val="-10"/>
                                </w:rPr>
                              </w:pPr>
                              <w:r>
                                <w:rPr>
                                  <w:rFonts w:hint="eastAsia"/>
                                  <w:spacing w:val="-10"/>
                                </w:rPr>
                                <w:t>焦炭</w:t>
                              </w:r>
                            </w:p>
                          </w:txbxContent>
                        </wps:txbx>
                        <wps:bodyPr rot="0" vert="horz" wrap="square" lIns="0" tIns="0" rIns="0" bIns="0" anchor="t" anchorCtr="0" upright="1">
                          <a:noAutofit/>
                        </wps:bodyPr>
                      </wps:wsp>
                      <wps:wsp>
                        <wps:cNvPr id="1102950434" name="直线 37368"/>
                        <wps:cNvCnPr>
                          <a:cxnSpLocks noChangeShapeType="1"/>
                        </wps:cNvCnPr>
                        <wps:spPr bwMode="auto">
                          <a:xfrm>
                            <a:off x="736600" y="508000"/>
                            <a:ext cx="817880" cy="0"/>
                          </a:xfrm>
                          <a:prstGeom prst="line">
                            <a:avLst/>
                          </a:prstGeom>
                          <a:noFill/>
                          <a:ln w="6350">
                            <a:solidFill>
                              <a:srgbClr val="000000"/>
                            </a:solidFill>
                            <a:round/>
                            <a:tailEnd type="none" w="sm" len="sm"/>
                          </a:ln>
                          <a:effectLst/>
                        </wps:spPr>
                        <wps:bodyPr/>
                      </wps:wsp>
                      <wps:wsp>
                        <wps:cNvPr id="113286163" name="直线 37369"/>
                        <wps:cNvCnPr>
                          <a:cxnSpLocks noChangeShapeType="1"/>
                        </wps:cNvCnPr>
                        <wps:spPr bwMode="auto">
                          <a:xfrm>
                            <a:off x="715433" y="228600"/>
                            <a:ext cx="0" cy="287655"/>
                          </a:xfrm>
                          <a:prstGeom prst="line">
                            <a:avLst/>
                          </a:prstGeom>
                          <a:noFill/>
                          <a:ln w="6350">
                            <a:solidFill>
                              <a:srgbClr val="000000"/>
                            </a:solidFill>
                            <a:round/>
                            <a:tailEnd type="stealth" w="sm" len="sm"/>
                          </a:ln>
                          <a:effectLst/>
                        </wps:spPr>
                        <wps:bodyPr/>
                      </wps:wsp>
                      <wps:wsp>
                        <wps:cNvPr id="452213186" name="文本框 37370"/>
                        <wps:cNvSpPr txBox="1">
                          <a:spLocks noChangeArrowheads="1"/>
                        </wps:cNvSpPr>
                        <wps:spPr bwMode="auto">
                          <a:xfrm>
                            <a:off x="330200" y="0"/>
                            <a:ext cx="831215" cy="226695"/>
                          </a:xfrm>
                          <a:prstGeom prst="rect">
                            <a:avLst/>
                          </a:prstGeom>
                          <a:noFill/>
                          <a:ln>
                            <a:noFill/>
                          </a:ln>
                        </wps:spPr>
                        <wps:txbx>
                          <w:txbxContent>
                            <w:p w14:paraId="2DEA8814">
                              <w:pPr>
                                <w:spacing w:line="0" w:lineRule="atLeast"/>
                                <w:jc w:val="center"/>
                                <w:rPr>
                                  <w:spacing w:val="-10"/>
                                  <w:sz w:val="23"/>
                                  <w:szCs w:val="23"/>
                                </w:rPr>
                              </w:pPr>
                              <w:r>
                                <w:rPr>
                                  <w:rFonts w:hint="eastAsia"/>
                                  <w:spacing w:val="-10"/>
                                  <w:sz w:val="23"/>
                                  <w:szCs w:val="23"/>
                                </w:rPr>
                                <w:t>球团混匀矿</w:t>
                              </w:r>
                            </w:p>
                          </w:txbxContent>
                        </wps:txbx>
                        <wps:bodyPr rot="0" vert="horz" wrap="square" lIns="0" tIns="0" rIns="0" bIns="0" anchor="t" anchorCtr="0" upright="1">
                          <a:noAutofit/>
                        </wps:bodyPr>
                      </wps:wsp>
                      <wps:wsp>
                        <wps:cNvPr id="127455587" name="直线 37372"/>
                        <wps:cNvCnPr>
                          <a:cxnSpLocks noChangeShapeType="1"/>
                        </wps:cNvCnPr>
                        <wps:spPr bwMode="auto">
                          <a:xfrm>
                            <a:off x="1562100" y="220133"/>
                            <a:ext cx="0" cy="287655"/>
                          </a:xfrm>
                          <a:prstGeom prst="line">
                            <a:avLst/>
                          </a:prstGeom>
                          <a:noFill/>
                          <a:ln w="6350">
                            <a:solidFill>
                              <a:srgbClr val="000000"/>
                            </a:solidFill>
                            <a:round/>
                            <a:tailEnd type="stealth" w="sm" len="sm"/>
                          </a:ln>
                          <a:effectLst/>
                        </wps:spPr>
                        <wps:bodyPr/>
                      </wps:wsp>
                      <wps:wsp>
                        <wps:cNvPr id="1555660179" name="文本框 37374"/>
                        <wps:cNvSpPr txBox="1">
                          <a:spLocks noChangeArrowheads="1"/>
                        </wps:cNvSpPr>
                        <wps:spPr bwMode="auto">
                          <a:xfrm>
                            <a:off x="1236133" y="0"/>
                            <a:ext cx="688975" cy="226695"/>
                          </a:xfrm>
                          <a:prstGeom prst="rect">
                            <a:avLst/>
                          </a:prstGeom>
                          <a:noFill/>
                          <a:ln>
                            <a:noFill/>
                          </a:ln>
                        </wps:spPr>
                        <wps:txbx>
                          <w:txbxContent>
                            <w:p w14:paraId="7A1628B4">
                              <w:pPr>
                                <w:spacing w:line="0" w:lineRule="atLeast"/>
                                <w:jc w:val="center"/>
                                <w:rPr>
                                  <w:spacing w:val="-10"/>
                                  <w:sz w:val="23"/>
                                  <w:szCs w:val="23"/>
                                </w:rPr>
                              </w:pPr>
                              <w:r>
                                <w:rPr>
                                  <w:rFonts w:hint="eastAsia"/>
                                  <w:spacing w:val="-10"/>
                                  <w:sz w:val="23"/>
                                  <w:szCs w:val="23"/>
                                </w:rPr>
                                <w:t>膨润土</w:t>
                              </w:r>
                            </w:p>
                          </w:txbxContent>
                        </wps:txbx>
                        <wps:bodyPr rot="0" vert="horz" wrap="square" lIns="0" tIns="0" rIns="0" bIns="0" anchor="t" anchorCtr="0" upright="1">
                          <a:noAutofit/>
                        </wps:bodyPr>
                      </wps:wsp>
                      <wps:wsp>
                        <wps:cNvPr id="2115591618" name="直线 37375"/>
                        <wps:cNvCnPr>
                          <a:cxnSpLocks noChangeShapeType="1"/>
                        </wps:cNvCnPr>
                        <wps:spPr bwMode="auto">
                          <a:xfrm>
                            <a:off x="1155700" y="508000"/>
                            <a:ext cx="635" cy="206375"/>
                          </a:xfrm>
                          <a:prstGeom prst="line">
                            <a:avLst/>
                          </a:prstGeom>
                          <a:noFill/>
                          <a:ln w="6350">
                            <a:solidFill>
                              <a:srgbClr val="000000"/>
                            </a:solidFill>
                            <a:round/>
                            <a:tailEnd type="stealth" w="sm" len="sm"/>
                          </a:ln>
                          <a:effectLst/>
                        </wps:spPr>
                        <wps:bodyPr/>
                      </wps:wsp>
                      <wps:wsp>
                        <wps:cNvPr id="1487534281" name="文本框 37376"/>
                        <wps:cNvSpPr txBox="1">
                          <a:spLocks noChangeArrowheads="1"/>
                        </wps:cNvSpPr>
                        <wps:spPr bwMode="auto">
                          <a:xfrm>
                            <a:off x="0" y="719667"/>
                            <a:ext cx="1928495" cy="197485"/>
                          </a:xfrm>
                          <a:prstGeom prst="rect">
                            <a:avLst/>
                          </a:prstGeom>
                          <a:noFill/>
                          <a:ln w="6350">
                            <a:solidFill>
                              <a:srgbClr val="000000"/>
                            </a:solidFill>
                            <a:miter lim="800000"/>
                            <a:tailEnd type="none" w="sm" len="sm"/>
                          </a:ln>
                          <a:effectLst/>
                        </wps:spPr>
                        <wps:txbx>
                          <w:txbxContent>
                            <w:p w14:paraId="0EAA88B0">
                              <w:pPr>
                                <w:spacing w:line="0" w:lineRule="atLeast"/>
                                <w:jc w:val="center"/>
                                <w:rPr>
                                  <w:b/>
                                  <w:bCs/>
                                  <w:spacing w:val="-10"/>
                                  <w:sz w:val="23"/>
                                  <w:szCs w:val="23"/>
                                </w:rPr>
                              </w:pPr>
                              <w:r>
                                <w:rPr>
                                  <w:rFonts w:hint="eastAsia"/>
                                  <w:b/>
                                  <w:bCs/>
                                  <w:spacing w:val="-10"/>
                                  <w:sz w:val="23"/>
                                  <w:szCs w:val="23"/>
                                </w:rPr>
                                <w:t>链篦机回转窑/竖炉/带式焙烧机</w:t>
                              </w:r>
                            </w:p>
                          </w:txbxContent>
                        </wps:txbx>
                        <wps:bodyPr rot="0" vert="horz" wrap="square" lIns="0" tIns="0" rIns="0" bIns="0" anchor="t" anchorCtr="0" upright="1">
                          <a:noAutofit/>
                        </wps:bodyPr>
                      </wps:wsp>
                      <wps:wsp>
                        <wps:cNvPr id="1416863304" name="任意多边形 37377"/>
                        <wps:cNvSpPr/>
                        <wps:spPr bwMode="auto">
                          <a:xfrm>
                            <a:off x="1143000" y="948267"/>
                            <a:ext cx="824865" cy="575310"/>
                          </a:xfrm>
                          <a:custGeom>
                            <a:avLst/>
                            <a:gdLst>
                              <a:gd name="T0" fmla="*/ 0 w 1344"/>
                              <a:gd name="T1" fmla="*/ 0 h 1861"/>
                              <a:gd name="T2" fmla="*/ 0 w 1344"/>
                              <a:gd name="T3" fmla="*/ 207433 h 1861"/>
                              <a:gd name="T4" fmla="*/ 824865 w 1344"/>
                              <a:gd name="T5" fmla="*/ 207433 h 1861"/>
                              <a:gd name="T6" fmla="*/ 824865 w 1344"/>
                              <a:gd name="T7" fmla="*/ 575310 h 18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44" h="1861">
                                <a:moveTo>
                                  <a:pt x="0" y="0"/>
                                </a:moveTo>
                                <a:lnTo>
                                  <a:pt x="0" y="671"/>
                                </a:lnTo>
                                <a:lnTo>
                                  <a:pt x="1344" y="671"/>
                                </a:lnTo>
                                <a:lnTo>
                                  <a:pt x="1344" y="1861"/>
                                </a:lnTo>
                              </a:path>
                            </a:pathLst>
                          </a:custGeom>
                          <a:noFill/>
                          <a:ln w="6350" cmpd="sng">
                            <a:solidFill>
                              <a:srgbClr val="000000"/>
                            </a:solidFill>
                            <a:round/>
                            <a:tailEnd type="stealth" w="sm" len="sm"/>
                          </a:ln>
                          <a:effectLst/>
                        </wps:spPr>
                        <wps:bodyPr rot="0" vert="horz" wrap="square" lIns="91440" tIns="45720" rIns="91440" bIns="45720" anchor="t" anchorCtr="0" upright="1">
                          <a:noAutofit/>
                        </wps:bodyPr>
                      </wps:wsp>
                      <wps:wsp>
                        <wps:cNvPr id="2060115814" name="任意多边形 37378"/>
                        <wps:cNvSpPr/>
                        <wps:spPr bwMode="auto">
                          <a:xfrm flipH="1">
                            <a:off x="2798233" y="931333"/>
                            <a:ext cx="810895" cy="584200"/>
                          </a:xfrm>
                          <a:custGeom>
                            <a:avLst/>
                            <a:gdLst>
                              <a:gd name="T0" fmla="*/ 0 w 1344"/>
                              <a:gd name="T1" fmla="*/ 0 h 1861"/>
                              <a:gd name="T2" fmla="*/ 0 w 1344"/>
                              <a:gd name="T3" fmla="*/ 210638 h 1861"/>
                              <a:gd name="T4" fmla="*/ 810895 w 1344"/>
                              <a:gd name="T5" fmla="*/ 210638 h 1861"/>
                              <a:gd name="T6" fmla="*/ 810895 w 1344"/>
                              <a:gd name="T7" fmla="*/ 584200 h 18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44" h="1861">
                                <a:moveTo>
                                  <a:pt x="0" y="0"/>
                                </a:moveTo>
                                <a:lnTo>
                                  <a:pt x="0" y="671"/>
                                </a:lnTo>
                                <a:lnTo>
                                  <a:pt x="1344" y="671"/>
                                </a:lnTo>
                                <a:lnTo>
                                  <a:pt x="1344" y="1861"/>
                                </a:lnTo>
                              </a:path>
                            </a:pathLst>
                          </a:custGeom>
                          <a:noFill/>
                          <a:ln w="6350" cmpd="sng">
                            <a:solidFill>
                              <a:srgbClr val="000000"/>
                            </a:solidFill>
                            <a:round/>
                            <a:tailEnd type="stealth" w="sm" len="sm"/>
                          </a:ln>
                          <a:effectLst/>
                        </wps:spPr>
                        <wps:bodyPr rot="0" vert="horz" wrap="square" lIns="91440" tIns="45720" rIns="91440" bIns="45720" anchor="t" anchorCtr="0" upright="1">
                          <a:noAutofit/>
                        </wps:bodyPr>
                      </wps:wsp>
                      <wps:wsp>
                        <wps:cNvPr id="1163953699" name="文本框 37387"/>
                        <wps:cNvSpPr txBox="1">
                          <a:spLocks noChangeArrowheads="1"/>
                        </wps:cNvSpPr>
                        <wps:spPr bwMode="auto">
                          <a:xfrm>
                            <a:off x="3048000" y="973667"/>
                            <a:ext cx="688340" cy="226060"/>
                          </a:xfrm>
                          <a:prstGeom prst="rect">
                            <a:avLst/>
                          </a:prstGeom>
                          <a:noFill/>
                          <a:ln>
                            <a:noFill/>
                          </a:ln>
                        </wps:spPr>
                        <wps:txbx>
                          <w:txbxContent>
                            <w:p w14:paraId="3A64CD2F">
                              <w:pPr>
                                <w:spacing w:line="0" w:lineRule="atLeast"/>
                                <w:jc w:val="center"/>
                                <w:rPr>
                                  <w:spacing w:val="-10"/>
                                  <w:szCs w:val="21"/>
                                </w:rPr>
                              </w:pPr>
                              <w:r>
                                <w:rPr>
                                  <w:rFonts w:hint="eastAsia"/>
                                  <w:spacing w:val="-10"/>
                                  <w:szCs w:val="21"/>
                                </w:rPr>
                                <w:t>烧结矿</w:t>
                              </w:r>
                            </w:p>
                          </w:txbxContent>
                        </wps:txbx>
                        <wps:bodyPr rot="0" vert="horz" wrap="square" lIns="0" tIns="0" rIns="0" bIns="0" anchor="t" anchorCtr="0" upright="1">
                          <a:noAutofit/>
                        </wps:bodyPr>
                      </wps:wsp>
                      <wps:wsp>
                        <wps:cNvPr id="1083178753" name="文本框 37391"/>
                        <wps:cNvSpPr txBox="1">
                          <a:spLocks noChangeArrowheads="1"/>
                        </wps:cNvSpPr>
                        <wps:spPr bwMode="auto">
                          <a:xfrm>
                            <a:off x="2345267" y="753533"/>
                            <a:ext cx="688340" cy="226060"/>
                          </a:xfrm>
                          <a:prstGeom prst="rect">
                            <a:avLst/>
                          </a:prstGeom>
                          <a:noFill/>
                          <a:ln>
                            <a:noFill/>
                          </a:ln>
                        </wps:spPr>
                        <wps:txbx>
                          <w:txbxContent>
                            <w:p w14:paraId="0686313E">
                              <w:pPr>
                                <w:spacing w:line="0" w:lineRule="atLeast"/>
                                <w:jc w:val="center"/>
                                <w:rPr>
                                  <w:spacing w:val="-10"/>
                                </w:rPr>
                              </w:pPr>
                              <w:r>
                                <w:rPr>
                                  <w:rFonts w:hint="eastAsia"/>
                                  <w:spacing w:val="-10"/>
                                </w:rPr>
                                <w:t>煤</w:t>
                              </w:r>
                            </w:p>
                          </w:txbxContent>
                        </wps:txbx>
                        <wps:bodyPr rot="0" vert="horz" wrap="square" lIns="0" tIns="0" rIns="0" bIns="0" anchor="t" anchorCtr="0" upright="1">
                          <a:noAutofit/>
                        </wps:bodyPr>
                      </wps:wsp>
                      <wps:wsp>
                        <wps:cNvPr id="2044882431" name="直线 37395"/>
                        <wps:cNvCnPr>
                          <a:cxnSpLocks noChangeShapeType="1"/>
                        </wps:cNvCnPr>
                        <wps:spPr bwMode="auto">
                          <a:xfrm>
                            <a:off x="2019300" y="922867"/>
                            <a:ext cx="0" cy="264160"/>
                          </a:xfrm>
                          <a:prstGeom prst="line">
                            <a:avLst/>
                          </a:prstGeom>
                          <a:noFill/>
                          <a:ln w="6350">
                            <a:solidFill>
                              <a:srgbClr val="000000"/>
                            </a:solidFill>
                            <a:round/>
                            <a:tailEnd type="stealth" w="sm" len="sm"/>
                          </a:ln>
                          <a:effectLst/>
                        </wps:spPr>
                        <wps:bodyPr/>
                      </wps:wsp>
                      <wps:wsp>
                        <wps:cNvPr id="362471650" name="直线 37397"/>
                        <wps:cNvCnPr>
                          <a:cxnSpLocks noChangeShapeType="1"/>
                        </wps:cNvCnPr>
                        <wps:spPr bwMode="auto">
                          <a:xfrm>
                            <a:off x="2023533" y="1176867"/>
                            <a:ext cx="658495" cy="0"/>
                          </a:xfrm>
                          <a:prstGeom prst="line">
                            <a:avLst/>
                          </a:prstGeom>
                          <a:noFill/>
                          <a:ln w="6350">
                            <a:solidFill>
                              <a:srgbClr val="000000"/>
                            </a:solidFill>
                            <a:round/>
                            <a:tailEnd type="none" w="sm" len="sm"/>
                          </a:ln>
                          <a:effectLst/>
                        </wps:spPr>
                        <wps:bodyPr/>
                      </wps:wsp>
                      <wps:wsp>
                        <wps:cNvPr id="686168483" name="直线 37398"/>
                        <wps:cNvCnPr>
                          <a:cxnSpLocks noChangeShapeType="1"/>
                        </wps:cNvCnPr>
                        <wps:spPr bwMode="auto">
                          <a:xfrm>
                            <a:off x="2696633" y="914400"/>
                            <a:ext cx="0" cy="264160"/>
                          </a:xfrm>
                          <a:prstGeom prst="line">
                            <a:avLst/>
                          </a:prstGeom>
                          <a:noFill/>
                          <a:ln w="6350">
                            <a:solidFill>
                              <a:srgbClr val="000000"/>
                            </a:solidFill>
                            <a:round/>
                            <a:tailEnd type="stealth" w="sm" len="sm"/>
                          </a:ln>
                          <a:effectLst/>
                        </wps:spPr>
                        <wps:bodyPr/>
                      </wps:wsp>
                      <wps:wsp>
                        <wps:cNvPr id="1199335777" name="直线 37401"/>
                        <wps:cNvCnPr>
                          <a:cxnSpLocks noChangeShapeType="1"/>
                        </wps:cNvCnPr>
                        <wps:spPr bwMode="auto">
                          <a:xfrm flipH="1">
                            <a:off x="2374900" y="1168400"/>
                            <a:ext cx="635" cy="354118"/>
                          </a:xfrm>
                          <a:prstGeom prst="line">
                            <a:avLst/>
                          </a:prstGeom>
                          <a:noFill/>
                          <a:ln w="6350">
                            <a:solidFill>
                              <a:srgbClr val="000000"/>
                            </a:solidFill>
                            <a:round/>
                            <a:tailEnd type="stealth" w="sm" len="sm"/>
                          </a:ln>
                          <a:effectLst/>
                        </wps:spPr>
                        <wps:bodyPr/>
                      </wps:wsp>
                      <wps:wsp>
                        <wps:cNvPr id="810134715" name="文本框 37408"/>
                        <wps:cNvSpPr txBox="1">
                          <a:spLocks noChangeArrowheads="1"/>
                        </wps:cNvSpPr>
                        <wps:spPr bwMode="auto">
                          <a:xfrm>
                            <a:off x="651933" y="982133"/>
                            <a:ext cx="494030" cy="226695"/>
                          </a:xfrm>
                          <a:prstGeom prst="rect">
                            <a:avLst/>
                          </a:prstGeom>
                          <a:noFill/>
                          <a:ln>
                            <a:noFill/>
                          </a:ln>
                        </wps:spPr>
                        <wps:txbx>
                          <w:txbxContent>
                            <w:p w14:paraId="0CC7FEB3">
                              <w:pPr>
                                <w:spacing w:line="0" w:lineRule="atLeast"/>
                                <w:jc w:val="center"/>
                                <w:rPr>
                                  <w:spacing w:val="-10"/>
                                  <w:szCs w:val="21"/>
                                </w:rPr>
                              </w:pPr>
                              <w:r>
                                <w:rPr>
                                  <w:rFonts w:hint="eastAsia"/>
                                  <w:spacing w:val="-10"/>
                                  <w:szCs w:val="21"/>
                                </w:rPr>
                                <w:t>球团矿</w:t>
                              </w:r>
                            </w:p>
                          </w:txbxContent>
                        </wps:txbx>
                        <wps:bodyPr rot="0" vert="horz" wrap="square" lIns="0" tIns="0" rIns="0" bIns="0" anchor="t" anchorCtr="0" upright="1">
                          <a:noAutofit/>
                        </wps:bodyPr>
                      </wps:wsp>
                      <wps:wsp>
                        <wps:cNvPr id="533453859" name="任意多边形 37414"/>
                        <wps:cNvSpPr/>
                        <wps:spPr bwMode="auto">
                          <a:xfrm flipH="1">
                            <a:off x="2836333" y="1769533"/>
                            <a:ext cx="417195" cy="172300"/>
                          </a:xfrm>
                          <a:custGeom>
                            <a:avLst/>
                            <a:gdLst>
                              <a:gd name="T0" fmla="*/ 417195 w 788"/>
                              <a:gd name="T1" fmla="*/ 0 h 341"/>
                              <a:gd name="T2" fmla="*/ 417195 w 788"/>
                              <a:gd name="T3" fmla="*/ 172300 h 341"/>
                              <a:gd name="T4" fmla="*/ 0 w 788"/>
                              <a:gd name="T5" fmla="*/ 172300 h 341"/>
                              <a:gd name="T6" fmla="*/ 0 60000 65536"/>
                              <a:gd name="T7" fmla="*/ 0 60000 65536"/>
                              <a:gd name="T8" fmla="*/ 0 60000 65536"/>
                            </a:gdLst>
                            <a:ahLst/>
                            <a:cxnLst>
                              <a:cxn ang="T6">
                                <a:pos x="T0" y="T1"/>
                              </a:cxn>
                              <a:cxn ang="T7">
                                <a:pos x="T2" y="T3"/>
                              </a:cxn>
                              <a:cxn ang="T8">
                                <a:pos x="T4" y="T5"/>
                              </a:cxn>
                            </a:cxnLst>
                            <a:rect l="0" t="0" r="r" b="b"/>
                            <a:pathLst>
                              <a:path w="788" h="341">
                                <a:moveTo>
                                  <a:pt x="788" y="0"/>
                                </a:moveTo>
                                <a:lnTo>
                                  <a:pt x="788" y="341"/>
                                </a:lnTo>
                                <a:lnTo>
                                  <a:pt x="0" y="341"/>
                                </a:lnTo>
                              </a:path>
                            </a:pathLst>
                          </a:custGeom>
                          <a:noFill/>
                          <a:ln w="6350" cmpd="sng">
                            <a:solidFill>
                              <a:srgbClr val="000000"/>
                            </a:solidFill>
                            <a:round/>
                            <a:tailEnd type="stealth" w="sm" len="sm"/>
                          </a:ln>
                          <a:effectLst/>
                        </wps:spPr>
                        <wps:bodyPr rot="0" vert="horz" wrap="square" lIns="91440" tIns="45720" rIns="91440" bIns="45720" anchor="t" anchorCtr="0" upright="1">
                          <a:noAutofit/>
                        </wps:bodyPr>
                      </wps:wsp>
                      <wps:wsp>
                        <wps:cNvPr id="293022961" name="文本框 37415"/>
                        <wps:cNvSpPr txBox="1">
                          <a:spLocks noChangeArrowheads="1"/>
                        </wps:cNvSpPr>
                        <wps:spPr bwMode="auto">
                          <a:xfrm>
                            <a:off x="2743200" y="1761067"/>
                            <a:ext cx="688340" cy="226728"/>
                          </a:xfrm>
                          <a:prstGeom prst="rect">
                            <a:avLst/>
                          </a:prstGeom>
                          <a:noFill/>
                          <a:ln>
                            <a:noFill/>
                          </a:ln>
                        </wps:spPr>
                        <wps:txbx>
                          <w:txbxContent>
                            <w:p w14:paraId="1D035961">
                              <w:pPr>
                                <w:spacing w:line="0" w:lineRule="atLeast"/>
                                <w:jc w:val="center"/>
                                <w:rPr>
                                  <w:spacing w:val="-10"/>
                                  <w:sz w:val="23"/>
                                  <w:szCs w:val="23"/>
                                </w:rPr>
                              </w:pPr>
                              <w:r>
                                <w:rPr>
                                  <w:rFonts w:hint="eastAsia"/>
                                  <w:spacing w:val="-10"/>
                                  <w:sz w:val="23"/>
                                  <w:szCs w:val="23"/>
                                </w:rPr>
                                <w:t>高炉渣</w:t>
                              </w:r>
                            </w:p>
                          </w:txbxContent>
                        </wps:txbx>
                        <wps:bodyPr rot="0" vert="horz" wrap="square" lIns="0" tIns="0" rIns="0" bIns="0" anchor="t" anchorCtr="0" upright="1">
                          <a:noAutofit/>
                        </wps:bodyPr>
                      </wps:wsp>
                      <wps:wsp>
                        <wps:cNvPr id="976573071" name="文本框 37420"/>
                        <wps:cNvSpPr txBox="1">
                          <a:spLocks noChangeArrowheads="1"/>
                        </wps:cNvSpPr>
                        <wps:spPr bwMode="auto">
                          <a:xfrm>
                            <a:off x="787400" y="1549400"/>
                            <a:ext cx="688340" cy="226728"/>
                          </a:xfrm>
                          <a:prstGeom prst="rect">
                            <a:avLst/>
                          </a:prstGeom>
                          <a:noFill/>
                          <a:ln>
                            <a:noFill/>
                          </a:ln>
                        </wps:spPr>
                        <wps:txbx>
                          <w:txbxContent>
                            <w:p w14:paraId="7997749F">
                              <w:pPr>
                                <w:spacing w:line="0" w:lineRule="atLeast"/>
                                <w:jc w:val="center"/>
                                <w:rPr>
                                  <w:spacing w:val="-10"/>
                                  <w:sz w:val="23"/>
                                  <w:szCs w:val="23"/>
                                </w:rPr>
                              </w:pPr>
                              <w:r>
                                <w:rPr>
                                  <w:rFonts w:hint="eastAsia"/>
                                  <w:spacing w:val="-10"/>
                                  <w:sz w:val="23"/>
                                  <w:szCs w:val="23"/>
                                </w:rPr>
                                <w:t>块矿</w:t>
                              </w:r>
                            </w:p>
                          </w:txbxContent>
                        </wps:txbx>
                        <wps:bodyPr rot="0" vert="horz" wrap="square" lIns="0" tIns="0" rIns="0" bIns="0" anchor="t" anchorCtr="0" upright="1">
                          <a:noAutofit/>
                        </wps:bodyPr>
                      </wps:wsp>
                      <wps:wsp>
                        <wps:cNvPr id="2033566517" name="直线 37375"/>
                        <wps:cNvCnPr>
                          <a:cxnSpLocks noChangeShapeType="1"/>
                        </wps:cNvCnPr>
                        <wps:spPr bwMode="auto">
                          <a:xfrm>
                            <a:off x="3611033" y="491067"/>
                            <a:ext cx="635" cy="206375"/>
                          </a:xfrm>
                          <a:prstGeom prst="line">
                            <a:avLst/>
                          </a:prstGeom>
                          <a:noFill/>
                          <a:ln w="6350">
                            <a:solidFill>
                              <a:srgbClr val="000000"/>
                            </a:solidFill>
                            <a:round/>
                            <a:tailEnd type="stealth" w="sm" len="sm"/>
                          </a:ln>
                          <a:effectLst/>
                        </wps:spPr>
                        <wps:bodyPr/>
                      </wps:wsp>
                      <wps:wsp>
                        <wps:cNvPr id="1500330995" name="直线 37421"/>
                        <wps:cNvCnPr>
                          <a:cxnSpLocks noChangeShapeType="1"/>
                        </wps:cNvCnPr>
                        <wps:spPr bwMode="auto">
                          <a:xfrm>
                            <a:off x="1286933" y="1657350"/>
                            <a:ext cx="453390" cy="0"/>
                          </a:xfrm>
                          <a:prstGeom prst="line">
                            <a:avLst/>
                          </a:prstGeom>
                          <a:noFill/>
                          <a:ln w="6350">
                            <a:solidFill>
                              <a:srgbClr val="000000"/>
                            </a:solidFill>
                            <a:round/>
                            <a:tailEnd type="stealth" w="sm" len="sm"/>
                          </a:ln>
                          <a:effectLst/>
                        </wps:spPr>
                        <wps:bodyPr/>
                      </wps:wsp>
                      <wps:wsp>
                        <wps:cNvPr id="1325745786" name="直线 37294"/>
                        <wps:cNvCnPr>
                          <a:cxnSpLocks noChangeShapeType="1"/>
                        </wps:cNvCnPr>
                        <wps:spPr bwMode="auto">
                          <a:xfrm flipH="1">
                            <a:off x="4404783" y="802217"/>
                            <a:ext cx="351155" cy="0"/>
                          </a:xfrm>
                          <a:prstGeom prst="line">
                            <a:avLst/>
                          </a:prstGeom>
                          <a:noFill/>
                          <a:ln w="6350">
                            <a:solidFill>
                              <a:srgbClr val="000000"/>
                            </a:solidFill>
                            <a:round/>
                            <a:tailEnd type="stealth" w="sm" len="sm"/>
                          </a:ln>
                          <a:effectLst/>
                        </wps:spPr>
                        <wps:bodyPr/>
                      </wps:wsp>
                      <wps:wsp>
                        <wps:cNvPr id="1795753559" name="文本框 37420"/>
                        <wps:cNvSpPr txBox="1">
                          <a:spLocks noChangeArrowheads="1"/>
                        </wps:cNvSpPr>
                        <wps:spPr bwMode="auto">
                          <a:xfrm>
                            <a:off x="4648200" y="694267"/>
                            <a:ext cx="688340" cy="226695"/>
                          </a:xfrm>
                          <a:prstGeom prst="rect">
                            <a:avLst/>
                          </a:prstGeom>
                          <a:noFill/>
                          <a:ln>
                            <a:noFill/>
                          </a:ln>
                        </wps:spPr>
                        <wps:txbx>
                          <w:txbxContent>
                            <w:p w14:paraId="066EA22E">
                              <w:pPr>
                                <w:spacing w:line="0" w:lineRule="atLeast"/>
                                <w:jc w:val="center"/>
                                <w:rPr>
                                  <w:spacing w:val="-10"/>
                                </w:rPr>
                              </w:pPr>
                              <w:r>
                                <w:rPr>
                                  <w:rFonts w:hint="eastAsia"/>
                                  <w:spacing w:val="-10"/>
                                </w:rPr>
                                <w:t>白云石</w:t>
                              </w:r>
                            </w:p>
                          </w:txbxContent>
                        </wps:txbx>
                        <wps:bodyPr rot="0" vert="horz" wrap="square" lIns="0" tIns="0" rIns="0" bIns="0" anchor="t" anchorCtr="0" upright="1">
                          <a:noAutofit/>
                        </wps:bodyPr>
                      </wps:wsp>
                      <wps:wsp>
                        <wps:cNvPr id="877643806" name="文本框 37276"/>
                        <wps:cNvSpPr txBox="1">
                          <a:spLocks noChangeArrowheads="1"/>
                        </wps:cNvSpPr>
                        <wps:spPr bwMode="auto">
                          <a:xfrm>
                            <a:off x="3623733" y="16933"/>
                            <a:ext cx="688340" cy="226060"/>
                          </a:xfrm>
                          <a:prstGeom prst="rect">
                            <a:avLst/>
                          </a:prstGeom>
                          <a:noFill/>
                          <a:ln>
                            <a:noFill/>
                          </a:ln>
                        </wps:spPr>
                        <wps:txbx>
                          <w:txbxContent>
                            <w:p w14:paraId="06498C1B">
                              <w:pPr>
                                <w:spacing w:line="0" w:lineRule="atLeast"/>
                                <w:jc w:val="center"/>
                                <w:rPr>
                                  <w:spacing w:val="-10"/>
                                  <w:sz w:val="23"/>
                                  <w:szCs w:val="23"/>
                                </w:rPr>
                              </w:pPr>
                              <w:r>
                                <w:rPr>
                                  <w:rFonts w:hint="eastAsia"/>
                                  <w:spacing w:val="-10"/>
                                  <w:sz w:val="23"/>
                                  <w:szCs w:val="23"/>
                                </w:rPr>
                                <w:t>生石灰</w:t>
                              </w:r>
                            </w:p>
                          </w:txbxContent>
                        </wps:txbx>
                        <wps:bodyPr rot="0" vert="horz" wrap="square" lIns="0" tIns="0" rIns="0" bIns="0" anchor="t" anchorCtr="0" upright="1">
                          <a:noAutofit/>
                        </wps:bodyPr>
                      </wps:wsp>
                      <wps:wsp>
                        <wps:cNvPr id="523735419" name="直线 37274"/>
                        <wps:cNvCnPr>
                          <a:cxnSpLocks noChangeShapeType="1"/>
                        </wps:cNvCnPr>
                        <wps:spPr bwMode="auto">
                          <a:xfrm>
                            <a:off x="3975100" y="194733"/>
                            <a:ext cx="0" cy="287655"/>
                          </a:xfrm>
                          <a:prstGeom prst="line">
                            <a:avLst/>
                          </a:prstGeom>
                          <a:noFill/>
                          <a:ln w="6350">
                            <a:solidFill>
                              <a:srgbClr val="000000"/>
                            </a:solidFill>
                            <a:round/>
                            <a:tailEnd type="stealth" w="sm" len="sm"/>
                          </a:ln>
                        </wps:spPr>
                        <wps:bodyPr/>
                      </wps:wsp>
                      <wps:wsp>
                        <wps:cNvPr id="2070396894" name="文本框 37258"/>
                        <wps:cNvSpPr txBox="1">
                          <a:spLocks noChangeArrowheads="1"/>
                        </wps:cNvSpPr>
                        <wps:spPr bwMode="auto">
                          <a:xfrm>
                            <a:off x="1981200" y="2971800"/>
                            <a:ext cx="432435" cy="226728"/>
                          </a:xfrm>
                          <a:prstGeom prst="rect">
                            <a:avLst/>
                          </a:prstGeom>
                          <a:noFill/>
                          <a:ln>
                            <a:noFill/>
                          </a:ln>
                        </wps:spPr>
                        <wps:txbx>
                          <w:txbxContent>
                            <w:p w14:paraId="024E0CEB">
                              <w:pPr>
                                <w:spacing w:line="0" w:lineRule="atLeast"/>
                                <w:jc w:val="center"/>
                                <w:rPr>
                                  <w:spacing w:val="-10"/>
                                  <w:szCs w:val="21"/>
                                </w:rPr>
                              </w:pPr>
                              <w:r>
                                <w:rPr>
                                  <w:rFonts w:hint="eastAsia"/>
                                  <w:spacing w:val="-10"/>
                                  <w:szCs w:val="21"/>
                                </w:rPr>
                                <w:t>钢水</w:t>
                              </w:r>
                            </w:p>
                          </w:txbxContent>
                        </wps:txbx>
                        <wps:bodyPr rot="0" vert="horz" wrap="square" lIns="0" tIns="0" rIns="0" bIns="0" anchor="t" anchorCtr="0" upright="1">
                          <a:noAutofit/>
                        </wps:bodyPr>
                      </wps:wsp>
                      <wps:wsp>
                        <wps:cNvPr id="1196196971" name="文本框 41760"/>
                        <wps:cNvSpPr txBox="1">
                          <a:spLocks noChangeArrowheads="1"/>
                        </wps:cNvSpPr>
                        <wps:spPr bwMode="auto">
                          <a:xfrm>
                            <a:off x="1921933" y="3225800"/>
                            <a:ext cx="935355" cy="226098"/>
                          </a:xfrm>
                          <a:prstGeom prst="rect">
                            <a:avLst/>
                          </a:prstGeom>
                          <a:noFill/>
                          <a:ln w="6350">
                            <a:solidFill>
                              <a:srgbClr val="000000"/>
                            </a:solidFill>
                            <a:miter lim="800000"/>
                            <a:tailEnd type="none" w="sm" len="sm"/>
                          </a:ln>
                          <a:effectLst/>
                        </wps:spPr>
                        <wps:txbx>
                          <w:txbxContent>
                            <w:p w14:paraId="658070BE">
                              <w:pPr>
                                <w:spacing w:line="0" w:lineRule="atLeast"/>
                                <w:jc w:val="center"/>
                                <w:rPr>
                                  <w:b/>
                                  <w:bCs/>
                                  <w:spacing w:val="-10"/>
                                  <w:sz w:val="23"/>
                                  <w:szCs w:val="23"/>
                                </w:rPr>
                              </w:pPr>
                              <w:r>
                                <w:rPr>
                                  <w:rFonts w:hint="eastAsia"/>
                                  <w:b/>
                                  <w:bCs/>
                                  <w:spacing w:val="-10"/>
                                  <w:sz w:val="23"/>
                                  <w:szCs w:val="23"/>
                                </w:rPr>
                                <w:t>精炼炉</w:t>
                              </w:r>
                            </w:p>
                          </w:txbxContent>
                        </wps:txbx>
                        <wps:bodyPr rot="0" vert="horz" wrap="square" lIns="0" tIns="0" rIns="0" bIns="0" anchor="t" anchorCtr="0" upright="1">
                          <a:noAutofit/>
                        </wps:bodyPr>
                      </wps:wsp>
                      <wps:wsp>
                        <wps:cNvPr id="1743496275" name="文本框 41760"/>
                        <wps:cNvSpPr txBox="1">
                          <a:spLocks noChangeArrowheads="1"/>
                        </wps:cNvSpPr>
                        <wps:spPr bwMode="auto">
                          <a:xfrm>
                            <a:off x="1930400" y="3632200"/>
                            <a:ext cx="929006" cy="185040"/>
                          </a:xfrm>
                          <a:prstGeom prst="rect">
                            <a:avLst/>
                          </a:prstGeom>
                          <a:noFill/>
                          <a:ln w="6350">
                            <a:solidFill>
                              <a:srgbClr val="000000"/>
                            </a:solidFill>
                            <a:miter lim="800000"/>
                            <a:tailEnd type="none" w="sm" len="sm"/>
                          </a:ln>
                          <a:effectLst/>
                        </wps:spPr>
                        <wps:txbx>
                          <w:txbxContent>
                            <w:p w14:paraId="4E326FFF">
                              <w:pPr>
                                <w:spacing w:line="0" w:lineRule="atLeast"/>
                                <w:jc w:val="center"/>
                                <w:rPr>
                                  <w:b/>
                                  <w:bCs/>
                                  <w:spacing w:val="-10"/>
                                  <w:sz w:val="23"/>
                                  <w:szCs w:val="23"/>
                                </w:rPr>
                              </w:pPr>
                              <w:r>
                                <w:rPr>
                                  <w:rFonts w:hint="eastAsia"/>
                                  <w:b/>
                                  <w:bCs/>
                                  <w:spacing w:val="-10"/>
                                  <w:sz w:val="23"/>
                                  <w:szCs w:val="23"/>
                                </w:rPr>
                                <w:t>连铸机</w:t>
                              </w:r>
                            </w:p>
                          </w:txbxContent>
                        </wps:txbx>
                        <wps:bodyPr rot="0" vert="horz" wrap="square" lIns="0" tIns="0" rIns="0" bIns="0" anchor="t" anchorCtr="0" upright="1">
                          <a:noAutofit/>
                        </wps:bodyPr>
                      </wps:wsp>
                      <wps:wsp>
                        <wps:cNvPr id="1493791438" name="直线 41759"/>
                        <wps:cNvCnPr>
                          <a:cxnSpLocks noChangeShapeType="1"/>
                        </wps:cNvCnPr>
                        <wps:spPr bwMode="auto">
                          <a:xfrm flipH="1">
                            <a:off x="2374900" y="3835400"/>
                            <a:ext cx="0" cy="285641"/>
                          </a:xfrm>
                          <a:prstGeom prst="line">
                            <a:avLst/>
                          </a:prstGeom>
                          <a:noFill/>
                          <a:ln w="6350">
                            <a:solidFill>
                              <a:srgbClr val="000000"/>
                            </a:solidFill>
                            <a:round/>
                            <a:tailEnd type="stealth" w="sm" len="sm"/>
                          </a:ln>
                          <a:effectLst/>
                        </wps:spPr>
                        <wps:bodyPr/>
                      </wps:wsp>
                      <wps:wsp>
                        <wps:cNvPr id="1533482626" name="文本框 37420"/>
                        <wps:cNvSpPr txBox="1">
                          <a:spLocks noChangeArrowheads="1"/>
                        </wps:cNvSpPr>
                        <wps:spPr bwMode="auto">
                          <a:xfrm>
                            <a:off x="2328333" y="2429933"/>
                            <a:ext cx="634365" cy="226728"/>
                          </a:xfrm>
                          <a:prstGeom prst="rect">
                            <a:avLst/>
                          </a:prstGeom>
                          <a:noFill/>
                          <a:ln>
                            <a:noFill/>
                          </a:ln>
                        </wps:spPr>
                        <wps:txbx>
                          <w:txbxContent>
                            <w:p w14:paraId="66EE2A67">
                              <w:pPr>
                                <w:spacing w:line="0" w:lineRule="atLeast"/>
                                <w:jc w:val="center"/>
                                <w:rPr>
                                  <w:spacing w:val="-10"/>
                                  <w:szCs w:val="21"/>
                                </w:rPr>
                              </w:pPr>
                              <w:r>
                                <w:rPr>
                                  <w:rFonts w:hint="eastAsia"/>
                                  <w:spacing w:val="-10"/>
                                  <w:szCs w:val="21"/>
                                </w:rPr>
                                <w:t>脱硫铁水</w:t>
                              </w:r>
                            </w:p>
                          </w:txbxContent>
                        </wps:txbx>
                        <wps:bodyPr rot="0" vert="horz" wrap="square" lIns="0" tIns="0" rIns="0" bIns="0" anchor="t" anchorCtr="0" upright="1">
                          <a:noAutofit/>
                        </wps:bodyPr>
                      </wps:wsp>
                      <wps:wsp>
                        <wps:cNvPr id="1461094730" name="文本框 37258"/>
                        <wps:cNvSpPr txBox="1">
                          <a:spLocks noChangeArrowheads="1"/>
                        </wps:cNvSpPr>
                        <wps:spPr bwMode="auto">
                          <a:xfrm>
                            <a:off x="1955800" y="3911600"/>
                            <a:ext cx="406400" cy="188310"/>
                          </a:xfrm>
                          <a:prstGeom prst="rect">
                            <a:avLst/>
                          </a:prstGeom>
                          <a:noFill/>
                          <a:ln>
                            <a:noFill/>
                          </a:ln>
                        </wps:spPr>
                        <wps:txbx>
                          <w:txbxContent>
                            <w:p w14:paraId="24DE6BC7">
                              <w:pPr>
                                <w:spacing w:line="0" w:lineRule="atLeast"/>
                                <w:jc w:val="center"/>
                                <w:rPr>
                                  <w:spacing w:val="-10"/>
                                  <w:szCs w:val="21"/>
                                </w:rPr>
                              </w:pPr>
                              <w:r>
                                <w:rPr>
                                  <w:rFonts w:hint="eastAsia"/>
                                  <w:spacing w:val="-10"/>
                                  <w:szCs w:val="21"/>
                                </w:rPr>
                                <w:t>钢坯</w:t>
                              </w:r>
                            </w:p>
                          </w:txbxContent>
                        </wps:txbx>
                        <wps:bodyPr rot="0" vert="horz" wrap="square" lIns="0" tIns="0" rIns="0" bIns="0" anchor="t" anchorCtr="0" upright="1">
                          <a:noAutofit/>
                        </wps:bodyPr>
                      </wps:wsp>
                      <wps:wsp>
                        <wps:cNvPr id="274455133" name="直线 37283"/>
                        <wps:cNvCnPr>
                          <a:cxnSpLocks noChangeShapeType="1"/>
                        </wps:cNvCnPr>
                        <wps:spPr bwMode="auto">
                          <a:xfrm flipH="1">
                            <a:off x="2374900" y="2946400"/>
                            <a:ext cx="635" cy="262627"/>
                          </a:xfrm>
                          <a:prstGeom prst="line">
                            <a:avLst/>
                          </a:prstGeom>
                          <a:noFill/>
                          <a:ln w="6350">
                            <a:solidFill>
                              <a:srgbClr val="000000"/>
                            </a:solidFill>
                            <a:round/>
                            <a:tailEnd type="stealth" w="sm" len="sm"/>
                          </a:ln>
                          <a:effectLst/>
                        </wps:spPr>
                        <wps:bodyPr/>
                      </wps:wsp>
                      <wps:wsp>
                        <wps:cNvPr id="281950738" name="文本框 37282"/>
                        <wps:cNvSpPr txBox="1">
                          <a:spLocks noChangeArrowheads="1"/>
                        </wps:cNvSpPr>
                        <wps:spPr bwMode="auto">
                          <a:xfrm>
                            <a:off x="1727200" y="2717800"/>
                            <a:ext cx="1332230" cy="226833"/>
                          </a:xfrm>
                          <a:prstGeom prst="rect">
                            <a:avLst/>
                          </a:prstGeom>
                          <a:noFill/>
                          <a:ln w="6350">
                            <a:solidFill>
                              <a:srgbClr val="000000"/>
                            </a:solidFill>
                            <a:miter lim="800000"/>
                            <a:tailEnd type="none" w="sm" len="sm"/>
                          </a:ln>
                          <a:effectLst/>
                        </wps:spPr>
                        <wps:txbx>
                          <w:txbxContent>
                            <w:p w14:paraId="79619A4B">
                              <w:pPr>
                                <w:spacing w:line="0" w:lineRule="atLeast"/>
                                <w:jc w:val="center"/>
                                <w:rPr>
                                  <w:b/>
                                  <w:bCs/>
                                  <w:spacing w:val="-10"/>
                                  <w:sz w:val="23"/>
                                  <w:szCs w:val="23"/>
                                </w:rPr>
                              </w:pPr>
                              <w:r>
                                <w:rPr>
                                  <w:rFonts w:hint="eastAsia"/>
                                  <w:b/>
                                  <w:bCs/>
                                  <w:spacing w:val="-10"/>
                                  <w:sz w:val="23"/>
                                  <w:szCs w:val="23"/>
                                </w:rPr>
                                <w:t>转炉/电炉</w:t>
                              </w:r>
                            </w:p>
                          </w:txbxContent>
                        </wps:txbx>
                        <wps:bodyPr rot="0" vert="horz" wrap="square" lIns="0" tIns="0" rIns="0" bIns="0" anchor="t" anchorCtr="0" upright="1">
                          <a:noAutofit/>
                        </wps:bodyPr>
                      </wps:wsp>
                      <wps:wsp>
                        <wps:cNvPr id="462318149" name="直线 37283"/>
                        <wps:cNvCnPr>
                          <a:cxnSpLocks noChangeShapeType="1"/>
                        </wps:cNvCnPr>
                        <wps:spPr bwMode="auto">
                          <a:xfrm flipH="1">
                            <a:off x="2374900" y="2336800"/>
                            <a:ext cx="635" cy="371582"/>
                          </a:xfrm>
                          <a:prstGeom prst="line">
                            <a:avLst/>
                          </a:prstGeom>
                          <a:noFill/>
                          <a:ln w="6350">
                            <a:solidFill>
                              <a:srgbClr val="000000"/>
                            </a:solidFill>
                            <a:round/>
                            <a:tailEnd type="stealth" w="sm" len="sm"/>
                          </a:ln>
                          <a:effectLst/>
                        </wps:spPr>
                        <wps:bodyPr/>
                      </wps:wsp>
                      <wps:wsp>
                        <wps:cNvPr id="1078833029" name="文本框 37282"/>
                        <wps:cNvSpPr txBox="1">
                          <a:spLocks noChangeArrowheads="1"/>
                        </wps:cNvSpPr>
                        <wps:spPr bwMode="auto">
                          <a:xfrm>
                            <a:off x="1998133" y="2099733"/>
                            <a:ext cx="876935" cy="226728"/>
                          </a:xfrm>
                          <a:prstGeom prst="rect">
                            <a:avLst/>
                          </a:prstGeom>
                          <a:noFill/>
                          <a:ln w="6350">
                            <a:solidFill>
                              <a:srgbClr val="000000"/>
                            </a:solidFill>
                            <a:miter lim="800000"/>
                            <a:tailEnd type="none" w="sm" len="sm"/>
                          </a:ln>
                          <a:effectLst/>
                        </wps:spPr>
                        <wps:txbx>
                          <w:txbxContent>
                            <w:p w14:paraId="412C5FB9">
                              <w:pPr>
                                <w:spacing w:line="0" w:lineRule="atLeast"/>
                                <w:jc w:val="center"/>
                                <w:rPr>
                                  <w:b/>
                                  <w:bCs/>
                                  <w:spacing w:val="-10"/>
                                  <w:sz w:val="23"/>
                                  <w:szCs w:val="23"/>
                                </w:rPr>
                              </w:pPr>
                              <w:r>
                                <w:rPr>
                                  <w:rFonts w:hint="eastAsia"/>
                                  <w:b/>
                                  <w:bCs/>
                                  <w:spacing w:val="-10"/>
                                  <w:sz w:val="23"/>
                                  <w:szCs w:val="23"/>
                                </w:rPr>
                                <w:t>铁水预处理</w:t>
                              </w:r>
                            </w:p>
                          </w:txbxContent>
                        </wps:txbx>
                        <wps:bodyPr rot="0" vert="horz" wrap="square" lIns="0" tIns="0" rIns="0" bIns="0" anchor="t" anchorCtr="0" upright="1">
                          <a:noAutofit/>
                        </wps:bodyPr>
                      </wps:wsp>
                      <wps:wsp>
                        <wps:cNvPr id="1175378329" name="直线 37421"/>
                        <wps:cNvCnPr>
                          <a:cxnSpLocks noChangeShapeType="1"/>
                        </wps:cNvCnPr>
                        <wps:spPr bwMode="auto">
                          <a:xfrm>
                            <a:off x="1676400" y="2224617"/>
                            <a:ext cx="310515" cy="0"/>
                          </a:xfrm>
                          <a:prstGeom prst="line">
                            <a:avLst/>
                          </a:prstGeom>
                          <a:noFill/>
                          <a:ln w="6350">
                            <a:solidFill>
                              <a:srgbClr val="000000"/>
                            </a:solidFill>
                            <a:round/>
                            <a:tailEnd type="stealth" w="sm" len="sm"/>
                          </a:ln>
                          <a:effectLst/>
                        </wps:spPr>
                        <wps:bodyPr/>
                      </wps:wsp>
                      <wps:wsp>
                        <wps:cNvPr id="147895094" name="文本框 37420"/>
                        <wps:cNvSpPr txBox="1">
                          <a:spLocks noChangeArrowheads="1"/>
                        </wps:cNvSpPr>
                        <wps:spPr bwMode="auto">
                          <a:xfrm>
                            <a:off x="1168400" y="2142067"/>
                            <a:ext cx="544830" cy="226728"/>
                          </a:xfrm>
                          <a:prstGeom prst="rect">
                            <a:avLst/>
                          </a:prstGeom>
                          <a:noFill/>
                          <a:ln>
                            <a:noFill/>
                          </a:ln>
                        </wps:spPr>
                        <wps:txbx>
                          <w:txbxContent>
                            <w:p w14:paraId="4ED9541C">
                              <w:pPr>
                                <w:spacing w:line="0" w:lineRule="atLeast"/>
                                <w:jc w:val="center"/>
                                <w:rPr>
                                  <w:spacing w:val="-10"/>
                                  <w:sz w:val="23"/>
                                  <w:szCs w:val="23"/>
                                </w:rPr>
                              </w:pPr>
                              <w:r>
                                <w:rPr>
                                  <w:rFonts w:hint="eastAsia"/>
                                  <w:spacing w:val="-10"/>
                                  <w:sz w:val="23"/>
                                  <w:szCs w:val="23"/>
                                </w:rPr>
                                <w:t>脱硫剂</w:t>
                              </w:r>
                            </w:p>
                          </w:txbxContent>
                        </wps:txbx>
                        <wps:bodyPr rot="0" vert="horz" wrap="square" lIns="0" tIns="0" rIns="0" bIns="0" anchor="t" anchorCtr="0" upright="1">
                          <a:noAutofit/>
                        </wps:bodyPr>
                      </wps:wsp>
                      <wps:wsp>
                        <wps:cNvPr id="279479010" name="直线 37283"/>
                        <wps:cNvCnPr>
                          <a:cxnSpLocks noChangeShapeType="1"/>
                        </wps:cNvCnPr>
                        <wps:spPr bwMode="auto">
                          <a:xfrm>
                            <a:off x="2366433" y="3445933"/>
                            <a:ext cx="635" cy="173195"/>
                          </a:xfrm>
                          <a:prstGeom prst="line">
                            <a:avLst/>
                          </a:prstGeom>
                          <a:noFill/>
                          <a:ln w="6350">
                            <a:solidFill>
                              <a:srgbClr val="000000"/>
                            </a:solidFill>
                            <a:round/>
                            <a:tailEnd type="stealth" w="sm" len="sm"/>
                          </a:ln>
                          <a:effectLst/>
                        </wps:spPr>
                        <wps:bodyPr/>
                      </wps:wsp>
                      <wpg:grpSp>
                        <wpg:cNvPr id="1200384028" name="组合 8615"/>
                        <wpg:cNvGrpSpPr/>
                        <wpg:grpSpPr>
                          <a:xfrm>
                            <a:off x="2861733" y="2980267"/>
                            <a:ext cx="454025" cy="195238"/>
                            <a:chOff x="12559" y="11955"/>
                            <a:chExt cx="715" cy="360"/>
                          </a:xfrm>
                        </wpg:grpSpPr>
                        <wps:wsp>
                          <wps:cNvPr id="716762168" name="直线 37395"/>
                          <wps:cNvCnPr>
                            <a:cxnSpLocks noChangeShapeType="1"/>
                          </wps:cNvCnPr>
                          <wps:spPr bwMode="auto">
                            <a:xfrm flipH="1">
                              <a:off x="12559" y="11955"/>
                              <a:ext cx="0" cy="360"/>
                            </a:xfrm>
                            <a:prstGeom prst="line">
                              <a:avLst/>
                            </a:prstGeom>
                            <a:noFill/>
                            <a:ln w="6350">
                              <a:solidFill>
                                <a:srgbClr val="000000"/>
                              </a:solidFill>
                              <a:round/>
                              <a:headEnd type="none" w="sm" len="sm"/>
                              <a:tailEnd type="none" w="sm" len="sm"/>
                            </a:ln>
                            <a:effectLst/>
                          </wps:spPr>
                          <wps:bodyPr/>
                        </wps:wsp>
                        <wps:wsp>
                          <wps:cNvPr id="1251421916" name="直线 37421"/>
                          <wps:cNvCnPr>
                            <a:cxnSpLocks noChangeShapeType="1"/>
                          </wps:cNvCnPr>
                          <wps:spPr bwMode="auto">
                            <a:xfrm>
                              <a:off x="12560" y="12313"/>
                              <a:ext cx="714" cy="0"/>
                            </a:xfrm>
                            <a:prstGeom prst="line">
                              <a:avLst/>
                            </a:prstGeom>
                            <a:noFill/>
                            <a:ln w="6350">
                              <a:solidFill>
                                <a:srgbClr val="000000"/>
                              </a:solidFill>
                              <a:round/>
                              <a:tailEnd type="stealth" w="sm" len="sm"/>
                            </a:ln>
                            <a:effectLst/>
                          </wps:spPr>
                          <wps:bodyPr/>
                        </wps:wsp>
                      </wpg:grpSp>
                      <wps:wsp>
                        <wps:cNvPr id="1028955513" name="文本框 37420"/>
                        <wps:cNvSpPr txBox="1">
                          <a:spLocks noChangeArrowheads="1"/>
                        </wps:cNvSpPr>
                        <wps:spPr bwMode="auto">
                          <a:xfrm>
                            <a:off x="2853267" y="2997200"/>
                            <a:ext cx="512445" cy="226728"/>
                          </a:xfrm>
                          <a:prstGeom prst="rect">
                            <a:avLst/>
                          </a:prstGeom>
                          <a:noFill/>
                          <a:ln>
                            <a:noFill/>
                          </a:ln>
                        </wps:spPr>
                        <wps:txbx>
                          <w:txbxContent>
                            <w:p w14:paraId="14AD73A9">
                              <w:pPr>
                                <w:spacing w:line="0" w:lineRule="atLeast"/>
                                <w:jc w:val="center"/>
                                <w:rPr>
                                  <w:spacing w:val="-10"/>
                                  <w:sz w:val="23"/>
                                  <w:szCs w:val="23"/>
                                </w:rPr>
                              </w:pPr>
                              <w:r>
                                <w:rPr>
                                  <w:rFonts w:hint="eastAsia"/>
                                  <w:spacing w:val="-10"/>
                                  <w:sz w:val="23"/>
                                  <w:szCs w:val="23"/>
                                </w:rPr>
                                <w:t>钢渣</w:t>
                              </w:r>
                            </w:p>
                          </w:txbxContent>
                        </wps:txbx>
                        <wps:bodyPr rot="0" vert="horz" wrap="square" lIns="0" tIns="0" rIns="0" bIns="0" anchor="t" anchorCtr="0" upright="1">
                          <a:noAutofit/>
                        </wps:bodyPr>
                      </wps:wsp>
                      <wps:wsp>
                        <wps:cNvPr id="526998027" name="直线 37421"/>
                        <wps:cNvCnPr>
                          <a:cxnSpLocks noChangeShapeType="1"/>
                        </wps:cNvCnPr>
                        <wps:spPr bwMode="auto">
                          <a:xfrm>
                            <a:off x="1422400" y="2825750"/>
                            <a:ext cx="310515" cy="0"/>
                          </a:xfrm>
                          <a:prstGeom prst="line">
                            <a:avLst/>
                          </a:prstGeom>
                          <a:noFill/>
                          <a:ln w="6350">
                            <a:solidFill>
                              <a:srgbClr val="000000"/>
                            </a:solidFill>
                            <a:round/>
                            <a:tailEnd type="stealth" w="sm" len="sm"/>
                          </a:ln>
                          <a:effectLst/>
                        </wps:spPr>
                        <wps:bodyPr/>
                      </wps:wsp>
                      <wps:wsp>
                        <wps:cNvPr id="1550042842" name="文本框 37420"/>
                        <wps:cNvSpPr txBox="1">
                          <a:spLocks noChangeArrowheads="1"/>
                        </wps:cNvSpPr>
                        <wps:spPr bwMode="auto">
                          <a:xfrm>
                            <a:off x="914400" y="2734733"/>
                            <a:ext cx="512445" cy="226728"/>
                          </a:xfrm>
                          <a:prstGeom prst="rect">
                            <a:avLst/>
                          </a:prstGeom>
                          <a:noFill/>
                          <a:ln>
                            <a:noFill/>
                          </a:ln>
                        </wps:spPr>
                        <wps:txbx>
                          <w:txbxContent>
                            <w:p w14:paraId="390F7C56">
                              <w:pPr>
                                <w:spacing w:line="0" w:lineRule="atLeast"/>
                                <w:jc w:val="center"/>
                                <w:rPr>
                                  <w:spacing w:val="-10"/>
                                  <w:sz w:val="23"/>
                                  <w:szCs w:val="23"/>
                                </w:rPr>
                              </w:pPr>
                              <w:r>
                                <w:rPr>
                                  <w:rFonts w:hint="eastAsia"/>
                                  <w:spacing w:val="-10"/>
                                  <w:sz w:val="23"/>
                                  <w:szCs w:val="23"/>
                                </w:rPr>
                                <w:t>铁合金</w:t>
                              </w:r>
                            </w:p>
                          </w:txbxContent>
                        </wps:txbx>
                        <wps:bodyPr rot="0" vert="horz" wrap="square" lIns="0" tIns="0" rIns="0" bIns="0" anchor="t" anchorCtr="0" upright="1">
                          <a:noAutofit/>
                        </wps:bodyPr>
                      </wps:wsp>
                      <wps:wsp>
                        <wps:cNvPr id="614596878" name="文本框 37420"/>
                        <wps:cNvSpPr txBox="1">
                          <a:spLocks noChangeArrowheads="1"/>
                        </wps:cNvSpPr>
                        <wps:spPr bwMode="auto">
                          <a:xfrm>
                            <a:off x="931333" y="2429933"/>
                            <a:ext cx="688340" cy="226728"/>
                          </a:xfrm>
                          <a:prstGeom prst="rect">
                            <a:avLst/>
                          </a:prstGeom>
                          <a:noFill/>
                          <a:ln>
                            <a:noFill/>
                          </a:ln>
                        </wps:spPr>
                        <wps:txbx>
                          <w:txbxContent>
                            <w:p w14:paraId="6F09239F">
                              <w:pPr>
                                <w:spacing w:line="0" w:lineRule="atLeast"/>
                                <w:jc w:val="center"/>
                                <w:rPr>
                                  <w:spacing w:val="-10"/>
                                  <w:sz w:val="23"/>
                                  <w:szCs w:val="23"/>
                                </w:rPr>
                              </w:pPr>
                              <w:r>
                                <w:rPr>
                                  <w:rFonts w:hint="eastAsia"/>
                                  <w:spacing w:val="-10"/>
                                  <w:sz w:val="23"/>
                                  <w:szCs w:val="23"/>
                                </w:rPr>
                                <w:t>废钢</w:t>
                              </w:r>
                            </w:p>
                          </w:txbxContent>
                        </wps:txbx>
                        <wps:bodyPr rot="0" vert="horz" wrap="square" lIns="0" tIns="0" rIns="0" bIns="0" anchor="t" anchorCtr="0" upright="1">
                          <a:noAutofit/>
                        </wps:bodyPr>
                      </wps:wsp>
                      <wpg:grpSp>
                        <wpg:cNvPr id="1792511109" name="组合 8622"/>
                        <wpg:cNvGrpSpPr/>
                        <wpg:grpSpPr>
                          <a:xfrm>
                            <a:off x="1447800" y="2497667"/>
                            <a:ext cx="466090" cy="223579"/>
                            <a:chOff x="4091" y="5479"/>
                            <a:chExt cx="885" cy="452"/>
                          </a:xfrm>
                        </wpg:grpSpPr>
                        <wps:wsp>
                          <wps:cNvPr id="503765386" name="直线 37283"/>
                          <wps:cNvCnPr>
                            <a:cxnSpLocks noChangeShapeType="1"/>
                          </wps:cNvCnPr>
                          <wps:spPr bwMode="auto">
                            <a:xfrm>
                              <a:off x="4967" y="5482"/>
                              <a:ext cx="0" cy="449"/>
                            </a:xfrm>
                            <a:prstGeom prst="line">
                              <a:avLst/>
                            </a:prstGeom>
                            <a:noFill/>
                            <a:ln w="6350">
                              <a:solidFill>
                                <a:srgbClr val="000000"/>
                              </a:solidFill>
                              <a:round/>
                              <a:tailEnd type="stealth" w="sm" len="sm"/>
                            </a:ln>
                            <a:effectLst/>
                          </wps:spPr>
                          <wps:bodyPr/>
                        </wps:wsp>
                        <wps:wsp>
                          <wps:cNvPr id="495986922" name="直线 37384"/>
                          <wps:cNvCnPr>
                            <a:cxnSpLocks noChangeShapeType="1"/>
                          </wps:cNvCnPr>
                          <wps:spPr bwMode="auto">
                            <a:xfrm flipH="1">
                              <a:off x="4091" y="5479"/>
                              <a:ext cx="885" cy="0"/>
                            </a:xfrm>
                            <a:prstGeom prst="line">
                              <a:avLst/>
                            </a:prstGeom>
                            <a:noFill/>
                            <a:ln w="6350">
                              <a:solidFill>
                                <a:srgbClr val="000000"/>
                              </a:solidFill>
                              <a:round/>
                              <a:headEnd type="none" w="sm" len="sm"/>
                              <a:tailEnd type="none" w="sm" len="sm"/>
                            </a:ln>
                            <a:effectLst/>
                          </wps:spPr>
                          <wps:bodyPr/>
                        </wps:wsp>
                      </wpg:grpSp>
                      <wps:wsp>
                        <wps:cNvPr id="897344563" name="直线 37384"/>
                        <wps:cNvCnPr>
                          <a:cxnSpLocks noChangeShapeType="1"/>
                        </wps:cNvCnPr>
                        <wps:spPr bwMode="auto">
                          <a:xfrm flipH="1" flipV="1">
                            <a:off x="3067050" y="2834217"/>
                            <a:ext cx="699770" cy="0"/>
                          </a:xfrm>
                          <a:prstGeom prst="line">
                            <a:avLst/>
                          </a:prstGeom>
                          <a:noFill/>
                          <a:ln w="6350">
                            <a:solidFill>
                              <a:srgbClr val="000000"/>
                            </a:solidFill>
                            <a:round/>
                            <a:tailEnd type="stealth" w="sm" len="sm"/>
                          </a:ln>
                          <a:effectLst/>
                        </wps:spPr>
                        <wps:bodyPr/>
                      </wps:wsp>
                      <wps:wsp>
                        <wps:cNvPr id="793570990" name="文本框 37251"/>
                        <wps:cNvSpPr txBox="1">
                          <a:spLocks noChangeArrowheads="1"/>
                        </wps:cNvSpPr>
                        <wps:spPr bwMode="auto">
                          <a:xfrm>
                            <a:off x="3166533" y="2658533"/>
                            <a:ext cx="464820" cy="192089"/>
                          </a:xfrm>
                          <a:prstGeom prst="rect">
                            <a:avLst/>
                          </a:prstGeom>
                          <a:noFill/>
                          <a:ln>
                            <a:noFill/>
                          </a:ln>
                        </wps:spPr>
                        <wps:txbx>
                          <w:txbxContent>
                            <w:p w14:paraId="54F9EBB8">
                              <w:pPr>
                                <w:spacing w:line="0" w:lineRule="atLeast"/>
                                <w:jc w:val="center"/>
                                <w:rPr>
                                  <w:spacing w:val="-10"/>
                                  <w:szCs w:val="21"/>
                                </w:rPr>
                              </w:pPr>
                              <w:r>
                                <w:rPr>
                                  <w:rFonts w:hint="eastAsia"/>
                                  <w:spacing w:val="-10"/>
                                  <w:szCs w:val="21"/>
                                </w:rPr>
                                <w:t>生石灰</w:t>
                              </w:r>
                            </w:p>
                          </w:txbxContent>
                        </wps:txbx>
                        <wps:bodyPr rot="0" vert="horz" wrap="square" lIns="0" tIns="0" rIns="0" bIns="0" anchor="t" anchorCtr="0" upright="1">
                          <a:noAutofit/>
                        </wps:bodyPr>
                      </wps:wsp>
                      <wps:wsp>
                        <wps:cNvPr id="810332682" name="文本框 37383"/>
                        <wps:cNvSpPr txBox="1">
                          <a:spLocks noChangeArrowheads="1"/>
                        </wps:cNvSpPr>
                        <wps:spPr bwMode="auto">
                          <a:xfrm>
                            <a:off x="1761067" y="5105400"/>
                            <a:ext cx="1201420" cy="226098"/>
                          </a:xfrm>
                          <a:prstGeom prst="rect">
                            <a:avLst/>
                          </a:prstGeom>
                          <a:noFill/>
                          <a:ln>
                            <a:noFill/>
                          </a:ln>
                        </wps:spPr>
                        <wps:txbx>
                          <w:txbxContent>
                            <w:p w14:paraId="5AC26F74">
                              <w:pPr>
                                <w:spacing w:line="0" w:lineRule="atLeast"/>
                                <w:jc w:val="center"/>
                                <w:rPr>
                                  <w:b/>
                                  <w:spacing w:val="-10"/>
                                  <w:sz w:val="23"/>
                                  <w:szCs w:val="23"/>
                                </w:rPr>
                              </w:pPr>
                              <w:r>
                                <w:rPr>
                                  <w:rFonts w:hint="eastAsia"/>
                                  <w:b/>
                                  <w:spacing w:val="-10"/>
                                  <w:sz w:val="23"/>
                                  <w:szCs w:val="23"/>
                                </w:rPr>
                                <w:t>外售</w:t>
                              </w:r>
                            </w:p>
                          </w:txbxContent>
                        </wps:txbx>
                        <wps:bodyPr rot="0" vert="horz" wrap="square" lIns="0" tIns="0" rIns="0" bIns="0" anchor="t" anchorCtr="0" upright="1">
                          <a:noAutofit/>
                        </wps:bodyPr>
                      </wps:wsp>
                      <wpg:grpSp>
                        <wpg:cNvPr id="817516664" name="组合 8622"/>
                        <wpg:cNvGrpSpPr/>
                        <wpg:grpSpPr>
                          <a:xfrm flipH="1">
                            <a:off x="3009900" y="2480733"/>
                            <a:ext cx="359410" cy="223579"/>
                            <a:chOff x="3609" y="5447"/>
                            <a:chExt cx="885" cy="452"/>
                          </a:xfrm>
                        </wpg:grpSpPr>
                        <wps:wsp>
                          <wps:cNvPr id="80835445" name="直线 37283"/>
                          <wps:cNvCnPr>
                            <a:cxnSpLocks noChangeShapeType="1"/>
                          </wps:cNvCnPr>
                          <wps:spPr bwMode="auto">
                            <a:xfrm>
                              <a:off x="4485" y="5450"/>
                              <a:ext cx="0" cy="449"/>
                            </a:xfrm>
                            <a:prstGeom prst="line">
                              <a:avLst/>
                            </a:prstGeom>
                            <a:noFill/>
                            <a:ln w="6350">
                              <a:solidFill>
                                <a:srgbClr val="000000"/>
                              </a:solidFill>
                              <a:round/>
                              <a:tailEnd type="stealth" w="sm" len="sm"/>
                            </a:ln>
                            <a:effectLst/>
                          </wps:spPr>
                          <wps:bodyPr/>
                        </wps:wsp>
                        <wps:wsp>
                          <wps:cNvPr id="1277920718" name="直线 37384"/>
                          <wps:cNvCnPr>
                            <a:cxnSpLocks noChangeShapeType="1"/>
                          </wps:cNvCnPr>
                          <wps:spPr bwMode="auto">
                            <a:xfrm flipH="1">
                              <a:off x="3609" y="5447"/>
                              <a:ext cx="885" cy="0"/>
                            </a:xfrm>
                            <a:prstGeom prst="line">
                              <a:avLst/>
                            </a:prstGeom>
                            <a:noFill/>
                            <a:ln w="6350">
                              <a:solidFill>
                                <a:srgbClr val="000000"/>
                              </a:solidFill>
                              <a:round/>
                              <a:headEnd type="none" w="sm" len="sm"/>
                              <a:tailEnd type="none" w="sm" len="sm"/>
                            </a:ln>
                            <a:effectLst/>
                          </wps:spPr>
                          <wps:bodyPr/>
                        </wps:wsp>
                      </wpg:grpSp>
                      <wps:wsp>
                        <wps:cNvPr id="774088858" name="文本框 37420"/>
                        <wps:cNvSpPr txBox="1">
                          <a:spLocks noChangeArrowheads="1"/>
                        </wps:cNvSpPr>
                        <wps:spPr bwMode="auto">
                          <a:xfrm>
                            <a:off x="3395133" y="2387600"/>
                            <a:ext cx="688340" cy="226728"/>
                          </a:xfrm>
                          <a:prstGeom prst="rect">
                            <a:avLst/>
                          </a:prstGeom>
                          <a:noFill/>
                          <a:ln>
                            <a:noFill/>
                          </a:ln>
                        </wps:spPr>
                        <wps:txbx>
                          <w:txbxContent>
                            <w:p w14:paraId="41FE16D9">
                              <w:pPr>
                                <w:spacing w:line="0" w:lineRule="atLeast"/>
                                <w:jc w:val="center"/>
                                <w:rPr>
                                  <w:spacing w:val="-10"/>
                                  <w:sz w:val="23"/>
                                  <w:szCs w:val="23"/>
                                </w:rPr>
                              </w:pPr>
                              <w:r>
                                <w:rPr>
                                  <w:rFonts w:hint="eastAsia"/>
                                  <w:spacing w:val="-10"/>
                                  <w:sz w:val="23"/>
                                  <w:szCs w:val="23"/>
                                </w:rPr>
                                <w:t>轻烧白云石</w:t>
                              </w:r>
                            </w:p>
                          </w:txbxContent>
                        </wps:txbx>
                        <wps:bodyPr rot="0" vert="horz" wrap="square" lIns="0" tIns="0" rIns="0" bIns="0" anchor="t" anchorCtr="0" upright="1">
                          <a:noAutofit/>
                        </wps:bodyPr>
                      </wps:wsp>
                      <wps:wsp>
                        <wps:cNvPr id="706067362" name="文本框 37420"/>
                        <wps:cNvSpPr txBox="1">
                          <a:spLocks noChangeArrowheads="1"/>
                        </wps:cNvSpPr>
                        <wps:spPr bwMode="auto">
                          <a:xfrm>
                            <a:off x="1041400" y="3234267"/>
                            <a:ext cx="512445" cy="226728"/>
                          </a:xfrm>
                          <a:prstGeom prst="rect">
                            <a:avLst/>
                          </a:prstGeom>
                          <a:noFill/>
                          <a:ln>
                            <a:noFill/>
                          </a:ln>
                        </wps:spPr>
                        <wps:txbx>
                          <w:txbxContent>
                            <w:p w14:paraId="7A5F93AB">
                              <w:pPr>
                                <w:spacing w:line="0" w:lineRule="atLeast"/>
                                <w:jc w:val="center"/>
                                <w:rPr>
                                  <w:spacing w:val="-10"/>
                                  <w:sz w:val="23"/>
                                  <w:szCs w:val="23"/>
                                </w:rPr>
                              </w:pPr>
                              <w:r>
                                <w:rPr>
                                  <w:rFonts w:hint="eastAsia"/>
                                  <w:spacing w:val="-10"/>
                                  <w:sz w:val="23"/>
                                  <w:szCs w:val="23"/>
                                </w:rPr>
                                <w:t>铁合金</w:t>
                              </w:r>
                            </w:p>
                          </w:txbxContent>
                        </wps:txbx>
                        <wps:bodyPr rot="0" vert="horz" wrap="square" lIns="0" tIns="0" rIns="0" bIns="0" anchor="t" anchorCtr="0" upright="1">
                          <a:noAutofit/>
                        </wps:bodyPr>
                      </wps:wsp>
                      <wps:wsp>
                        <wps:cNvPr id="216790372" name="直线 37421"/>
                        <wps:cNvCnPr>
                          <a:cxnSpLocks noChangeShapeType="1"/>
                        </wps:cNvCnPr>
                        <wps:spPr bwMode="auto">
                          <a:xfrm>
                            <a:off x="1574800" y="3316817"/>
                            <a:ext cx="310515" cy="0"/>
                          </a:xfrm>
                          <a:prstGeom prst="line">
                            <a:avLst/>
                          </a:prstGeom>
                          <a:noFill/>
                          <a:ln w="6350">
                            <a:solidFill>
                              <a:srgbClr val="000000"/>
                            </a:solidFill>
                            <a:round/>
                            <a:tailEnd type="stealth" w="sm" len="sm"/>
                          </a:ln>
                          <a:effectLst/>
                        </wps:spPr>
                        <wps:bodyPr/>
                      </wps:wsp>
                      <wps:wsp>
                        <wps:cNvPr id="206317950" name="文本框 37420"/>
                        <wps:cNvSpPr txBox="1">
                          <a:spLocks noChangeArrowheads="1"/>
                        </wps:cNvSpPr>
                        <wps:spPr bwMode="auto">
                          <a:xfrm>
                            <a:off x="3149600" y="2125133"/>
                            <a:ext cx="512445" cy="226728"/>
                          </a:xfrm>
                          <a:prstGeom prst="rect">
                            <a:avLst/>
                          </a:prstGeom>
                          <a:noFill/>
                          <a:ln>
                            <a:noFill/>
                          </a:ln>
                        </wps:spPr>
                        <wps:txbx>
                          <w:txbxContent>
                            <w:p w14:paraId="447F6467">
                              <w:pPr>
                                <w:spacing w:line="0" w:lineRule="atLeast"/>
                                <w:jc w:val="center"/>
                                <w:rPr>
                                  <w:spacing w:val="-10"/>
                                  <w:sz w:val="23"/>
                                  <w:szCs w:val="23"/>
                                </w:rPr>
                              </w:pPr>
                              <w:r>
                                <w:rPr>
                                  <w:rFonts w:hint="eastAsia"/>
                                  <w:spacing w:val="-10"/>
                                  <w:sz w:val="23"/>
                                  <w:szCs w:val="23"/>
                                </w:rPr>
                                <w:t>脱硫渣</w:t>
                              </w:r>
                            </w:p>
                          </w:txbxContent>
                        </wps:txbx>
                        <wps:bodyPr rot="0" vert="horz" wrap="square" lIns="0" tIns="0" rIns="0" bIns="0" anchor="t" anchorCtr="0" upright="1">
                          <a:noAutofit/>
                        </wps:bodyPr>
                      </wps:wsp>
                      <wps:wsp>
                        <wps:cNvPr id="1023066126" name="直线 37421"/>
                        <wps:cNvCnPr>
                          <a:cxnSpLocks noChangeShapeType="1"/>
                        </wps:cNvCnPr>
                        <wps:spPr bwMode="auto">
                          <a:xfrm>
                            <a:off x="2861733" y="2207683"/>
                            <a:ext cx="310515" cy="0"/>
                          </a:xfrm>
                          <a:prstGeom prst="line">
                            <a:avLst/>
                          </a:prstGeom>
                          <a:noFill/>
                          <a:ln w="6350">
                            <a:solidFill>
                              <a:srgbClr val="000000"/>
                            </a:solidFill>
                            <a:round/>
                            <a:tailEnd type="stealth" w="sm" len="sm"/>
                          </a:ln>
                          <a:effectLst/>
                        </wps:spPr>
                        <wps:bodyPr/>
                      </wps:wsp>
                      <wps:wsp>
                        <wps:cNvPr id="183569709" name="文本框 41760"/>
                        <wps:cNvSpPr txBox="1">
                          <a:spLocks noChangeArrowheads="1"/>
                        </wps:cNvSpPr>
                        <wps:spPr bwMode="auto">
                          <a:xfrm>
                            <a:off x="1921933" y="4131733"/>
                            <a:ext cx="929006" cy="221845"/>
                          </a:xfrm>
                          <a:prstGeom prst="rect">
                            <a:avLst/>
                          </a:prstGeom>
                          <a:noFill/>
                          <a:ln w="6350">
                            <a:solidFill>
                              <a:srgbClr val="000000"/>
                            </a:solidFill>
                            <a:miter lim="800000"/>
                            <a:tailEnd type="none" w="sm" len="sm"/>
                          </a:ln>
                          <a:effectLst/>
                        </wps:spPr>
                        <wps:txbx>
                          <w:txbxContent>
                            <w:p w14:paraId="546A8828">
                              <w:pPr>
                                <w:spacing w:line="0" w:lineRule="atLeast"/>
                                <w:jc w:val="center"/>
                                <w:rPr>
                                  <w:b/>
                                  <w:bCs/>
                                  <w:spacing w:val="-10"/>
                                  <w:sz w:val="23"/>
                                  <w:szCs w:val="23"/>
                                </w:rPr>
                              </w:pPr>
                              <w:r>
                                <w:rPr>
                                  <w:rFonts w:hint="eastAsia"/>
                                  <w:b/>
                                  <w:bCs/>
                                  <w:spacing w:val="-10"/>
                                  <w:sz w:val="23"/>
                                  <w:szCs w:val="23"/>
                                </w:rPr>
                                <w:t>热轧机组</w:t>
                              </w:r>
                            </w:p>
                          </w:txbxContent>
                        </wps:txbx>
                        <wps:bodyPr rot="0" vert="horz" wrap="square" lIns="0" tIns="0" rIns="0" bIns="0" anchor="t" anchorCtr="0" upright="1">
                          <a:noAutofit/>
                        </wps:bodyPr>
                      </wps:wsp>
                      <wps:wsp>
                        <wps:cNvPr id="2104657634" name="文本框 41760"/>
                        <wps:cNvSpPr txBox="1">
                          <a:spLocks noChangeArrowheads="1"/>
                        </wps:cNvSpPr>
                        <wps:spPr bwMode="auto">
                          <a:xfrm>
                            <a:off x="3767667" y="2734733"/>
                            <a:ext cx="678180" cy="213400"/>
                          </a:xfrm>
                          <a:prstGeom prst="rect">
                            <a:avLst/>
                          </a:prstGeom>
                          <a:noFill/>
                          <a:ln w="6350">
                            <a:solidFill>
                              <a:srgbClr val="000000"/>
                            </a:solidFill>
                            <a:miter lim="800000"/>
                            <a:tailEnd type="none" w="sm" len="sm"/>
                          </a:ln>
                          <a:effectLst/>
                        </wps:spPr>
                        <wps:txbx>
                          <w:txbxContent>
                            <w:p w14:paraId="07D601DA">
                              <w:pPr>
                                <w:spacing w:line="0" w:lineRule="atLeast"/>
                                <w:jc w:val="center"/>
                                <w:rPr>
                                  <w:b/>
                                  <w:bCs/>
                                  <w:spacing w:val="-10"/>
                                  <w:sz w:val="23"/>
                                  <w:szCs w:val="23"/>
                                </w:rPr>
                              </w:pPr>
                              <w:r>
                                <w:rPr>
                                  <w:rFonts w:hint="eastAsia"/>
                                  <w:b/>
                                  <w:bCs/>
                                  <w:spacing w:val="-10"/>
                                  <w:sz w:val="23"/>
                                  <w:szCs w:val="23"/>
                                </w:rPr>
                                <w:t>白灰窑</w:t>
                              </w:r>
                            </w:p>
                          </w:txbxContent>
                        </wps:txbx>
                        <wps:bodyPr rot="0" vert="horz" wrap="square" lIns="0" tIns="0" rIns="0" bIns="0" anchor="t" anchorCtr="0" upright="1">
                          <a:noAutofit/>
                        </wps:bodyPr>
                      </wps:wsp>
                      <wps:wsp>
                        <wps:cNvPr id="1980998459" name="文本框 37251"/>
                        <wps:cNvSpPr txBox="1">
                          <a:spLocks noChangeArrowheads="1"/>
                        </wps:cNvSpPr>
                        <wps:spPr bwMode="auto">
                          <a:xfrm>
                            <a:off x="4817533" y="2751667"/>
                            <a:ext cx="464820" cy="192089"/>
                          </a:xfrm>
                          <a:prstGeom prst="rect">
                            <a:avLst/>
                          </a:prstGeom>
                          <a:noFill/>
                          <a:ln>
                            <a:noFill/>
                          </a:ln>
                        </wps:spPr>
                        <wps:txbx>
                          <w:txbxContent>
                            <w:p w14:paraId="1E8A27D7">
                              <w:pPr>
                                <w:spacing w:line="0" w:lineRule="atLeast"/>
                                <w:jc w:val="center"/>
                                <w:rPr>
                                  <w:spacing w:val="-10"/>
                                </w:rPr>
                              </w:pPr>
                              <w:r>
                                <w:rPr>
                                  <w:rFonts w:hint="eastAsia"/>
                                  <w:spacing w:val="-10"/>
                                </w:rPr>
                                <w:t>石灰石</w:t>
                              </w:r>
                            </w:p>
                          </w:txbxContent>
                        </wps:txbx>
                        <wps:bodyPr rot="0" vert="horz" wrap="square" lIns="0" tIns="0" rIns="0" bIns="0" anchor="t" anchorCtr="0" upright="1">
                          <a:noAutofit/>
                        </wps:bodyPr>
                      </wps:wsp>
                      <wps:wsp>
                        <wps:cNvPr id="1548374388" name="直线 37294"/>
                        <wps:cNvCnPr>
                          <a:cxnSpLocks noChangeShapeType="1"/>
                        </wps:cNvCnPr>
                        <wps:spPr bwMode="auto">
                          <a:xfrm flipH="1">
                            <a:off x="4455583" y="2825750"/>
                            <a:ext cx="351155" cy="0"/>
                          </a:xfrm>
                          <a:prstGeom prst="line">
                            <a:avLst/>
                          </a:prstGeom>
                          <a:noFill/>
                          <a:ln w="6350">
                            <a:solidFill>
                              <a:srgbClr val="000000"/>
                            </a:solidFill>
                            <a:round/>
                            <a:tailEnd type="stealth" w="sm" len="sm"/>
                          </a:ln>
                          <a:effectLst/>
                        </wps:spPr>
                        <wps:bodyPr/>
                      </wps:wsp>
                      <wps:wsp>
                        <wps:cNvPr id="551544425" name="文本框 41760"/>
                        <wps:cNvSpPr txBox="1">
                          <a:spLocks noChangeArrowheads="1"/>
                        </wps:cNvSpPr>
                        <wps:spPr bwMode="auto">
                          <a:xfrm>
                            <a:off x="3327400" y="3090333"/>
                            <a:ext cx="752687" cy="369970"/>
                          </a:xfrm>
                          <a:prstGeom prst="rect">
                            <a:avLst/>
                          </a:prstGeom>
                          <a:noFill/>
                          <a:ln w="6350">
                            <a:solidFill>
                              <a:srgbClr val="000000"/>
                            </a:solidFill>
                            <a:miter lim="800000"/>
                            <a:tailEnd type="none" w="sm" len="sm"/>
                          </a:ln>
                          <a:effectLst/>
                        </wps:spPr>
                        <wps:txbx>
                          <w:txbxContent>
                            <w:p w14:paraId="4CAF448D">
                              <w:pPr>
                                <w:spacing w:line="0" w:lineRule="atLeast"/>
                                <w:jc w:val="center"/>
                                <w:rPr>
                                  <w:b/>
                                  <w:bCs/>
                                  <w:spacing w:val="-10"/>
                                  <w:sz w:val="23"/>
                                  <w:szCs w:val="23"/>
                                </w:rPr>
                              </w:pPr>
                              <w:r>
                                <w:rPr>
                                  <w:rFonts w:hint="eastAsia"/>
                                  <w:b/>
                                  <w:bCs/>
                                  <w:spacing w:val="-10"/>
                                  <w:sz w:val="23"/>
                                  <w:szCs w:val="23"/>
                                </w:rPr>
                                <w:t>钢渣一次/二次处理</w:t>
                              </w:r>
                            </w:p>
                          </w:txbxContent>
                        </wps:txbx>
                        <wps:bodyPr rot="0" vert="horz" wrap="square" lIns="0" tIns="0" rIns="0" bIns="0" anchor="t" anchorCtr="0" upright="1">
                          <a:noAutofit/>
                        </wps:bodyPr>
                      </wps:wsp>
                      <wps:wsp>
                        <wps:cNvPr id="1167939282" name="文本框 41760"/>
                        <wps:cNvSpPr txBox="1">
                          <a:spLocks noChangeArrowheads="1"/>
                        </wps:cNvSpPr>
                        <wps:spPr bwMode="auto">
                          <a:xfrm>
                            <a:off x="3344333" y="1710267"/>
                            <a:ext cx="752687" cy="369970"/>
                          </a:xfrm>
                          <a:prstGeom prst="rect">
                            <a:avLst/>
                          </a:prstGeom>
                          <a:noFill/>
                          <a:ln w="6350">
                            <a:solidFill>
                              <a:srgbClr val="000000"/>
                            </a:solidFill>
                            <a:miter lim="800000"/>
                            <a:tailEnd type="none" w="sm" len="sm"/>
                          </a:ln>
                          <a:effectLst/>
                        </wps:spPr>
                        <wps:txbx>
                          <w:txbxContent>
                            <w:p w14:paraId="3D72C642">
                              <w:pPr>
                                <w:spacing w:line="0" w:lineRule="atLeast"/>
                                <w:jc w:val="center"/>
                                <w:rPr>
                                  <w:b/>
                                  <w:bCs/>
                                  <w:spacing w:val="-10"/>
                                  <w:sz w:val="23"/>
                                  <w:szCs w:val="23"/>
                                </w:rPr>
                              </w:pPr>
                              <w:r>
                                <w:rPr>
                                  <w:rFonts w:hint="eastAsia"/>
                                  <w:b/>
                                  <w:bCs/>
                                  <w:spacing w:val="-10"/>
                                  <w:sz w:val="23"/>
                                  <w:szCs w:val="23"/>
                                </w:rPr>
                                <w:t>矿渣微粉生产线</w:t>
                              </w:r>
                            </w:p>
                          </w:txbxContent>
                        </wps:txbx>
                        <wps:bodyPr rot="0" vert="horz" wrap="square" lIns="0" tIns="0" rIns="0" bIns="0" anchor="t" anchorCtr="0" upright="1">
                          <a:noAutofit/>
                        </wps:bodyPr>
                      </wps:wsp>
                      <wps:wsp>
                        <wps:cNvPr id="325709719" name="直线 37421"/>
                        <wps:cNvCnPr>
                          <a:cxnSpLocks noChangeShapeType="1"/>
                        </wps:cNvCnPr>
                        <wps:spPr bwMode="auto">
                          <a:xfrm>
                            <a:off x="4106333" y="1902883"/>
                            <a:ext cx="310515" cy="0"/>
                          </a:xfrm>
                          <a:prstGeom prst="line">
                            <a:avLst/>
                          </a:prstGeom>
                          <a:noFill/>
                          <a:ln w="6350">
                            <a:solidFill>
                              <a:srgbClr val="000000"/>
                            </a:solidFill>
                            <a:round/>
                            <a:tailEnd type="stealth" w="sm" len="sm"/>
                          </a:ln>
                          <a:effectLst/>
                        </wps:spPr>
                        <wps:bodyPr/>
                      </wps:wsp>
                      <wps:wsp>
                        <wps:cNvPr id="681991961" name="文本框 37251"/>
                        <wps:cNvSpPr txBox="1">
                          <a:spLocks noChangeArrowheads="1"/>
                        </wps:cNvSpPr>
                        <wps:spPr bwMode="auto">
                          <a:xfrm>
                            <a:off x="4394200" y="1820333"/>
                            <a:ext cx="697442" cy="192089"/>
                          </a:xfrm>
                          <a:prstGeom prst="rect">
                            <a:avLst/>
                          </a:prstGeom>
                          <a:noFill/>
                          <a:ln>
                            <a:noFill/>
                          </a:ln>
                        </wps:spPr>
                        <wps:txbx>
                          <w:txbxContent>
                            <w:p w14:paraId="575BC7E0">
                              <w:pPr>
                                <w:spacing w:line="0" w:lineRule="atLeast"/>
                                <w:jc w:val="center"/>
                                <w:rPr>
                                  <w:spacing w:val="-10"/>
                                </w:rPr>
                              </w:pPr>
                              <w:r>
                                <w:rPr>
                                  <w:rFonts w:hint="eastAsia"/>
                                  <w:spacing w:val="-10"/>
                                </w:rPr>
                                <w:t>矿渣微粉</w:t>
                              </w:r>
                            </w:p>
                          </w:txbxContent>
                        </wps:txbx>
                        <wps:bodyPr rot="0" vert="horz" wrap="square" lIns="0" tIns="0" rIns="0" bIns="0" anchor="t" anchorCtr="0" upright="1">
                          <a:noAutofit/>
                        </wps:bodyPr>
                      </wps:wsp>
                      <wps:wsp>
                        <wps:cNvPr id="229654802" name="直线 41759"/>
                        <wps:cNvCnPr>
                          <a:cxnSpLocks noChangeShapeType="1"/>
                        </wps:cNvCnPr>
                        <wps:spPr bwMode="auto">
                          <a:xfrm flipH="1">
                            <a:off x="2391833" y="4351867"/>
                            <a:ext cx="0" cy="285641"/>
                          </a:xfrm>
                          <a:prstGeom prst="line">
                            <a:avLst/>
                          </a:prstGeom>
                          <a:noFill/>
                          <a:ln w="6350">
                            <a:solidFill>
                              <a:srgbClr val="000000"/>
                            </a:solidFill>
                            <a:round/>
                            <a:tailEnd type="stealth" w="sm" len="sm"/>
                          </a:ln>
                          <a:effectLst/>
                        </wps:spPr>
                        <wps:bodyPr/>
                      </wps:wsp>
                      <wps:wsp>
                        <wps:cNvPr id="325901428" name="文本框 37258"/>
                        <wps:cNvSpPr txBox="1">
                          <a:spLocks noChangeArrowheads="1"/>
                        </wps:cNvSpPr>
                        <wps:spPr bwMode="auto">
                          <a:xfrm>
                            <a:off x="1803400" y="4648200"/>
                            <a:ext cx="1143000" cy="176723"/>
                          </a:xfrm>
                          <a:prstGeom prst="rect">
                            <a:avLst/>
                          </a:prstGeom>
                          <a:noFill/>
                          <a:ln>
                            <a:noFill/>
                          </a:ln>
                        </wps:spPr>
                        <wps:txbx>
                          <w:txbxContent>
                            <w:p w14:paraId="60919D12">
                              <w:pPr>
                                <w:spacing w:line="0" w:lineRule="atLeast"/>
                                <w:jc w:val="center"/>
                                <w:rPr>
                                  <w:spacing w:val="-10"/>
                                </w:rPr>
                              </w:pPr>
                              <w:r>
                                <w:rPr>
                                  <w:rFonts w:hint="eastAsia"/>
                                  <w:spacing w:val="-10"/>
                                </w:rPr>
                                <w:t>棒材</w:t>
                              </w:r>
                              <w:r>
                                <w:rPr>
                                  <w:spacing w:val="-10"/>
                                </w:rPr>
                                <w:t>/线材/板材</w:t>
                              </w:r>
                            </w:p>
                          </w:txbxContent>
                        </wps:txbx>
                        <wps:bodyPr rot="0" vert="horz" wrap="square" lIns="0" tIns="0" rIns="0" bIns="0" anchor="t" anchorCtr="0" upright="1">
                          <a:noAutofit/>
                        </wps:bodyPr>
                      </wps:wsp>
                      <wps:wsp>
                        <wps:cNvPr id="1845378611" name="直线 41759"/>
                        <wps:cNvCnPr>
                          <a:cxnSpLocks noChangeShapeType="1"/>
                        </wps:cNvCnPr>
                        <wps:spPr bwMode="auto">
                          <a:xfrm flipH="1">
                            <a:off x="2391833" y="4809067"/>
                            <a:ext cx="0" cy="285641"/>
                          </a:xfrm>
                          <a:prstGeom prst="line">
                            <a:avLst/>
                          </a:prstGeom>
                          <a:noFill/>
                          <a:ln w="6350">
                            <a:solidFill>
                              <a:srgbClr val="000000"/>
                            </a:solidFill>
                            <a:round/>
                            <a:tailEnd type="stealth" w="sm" len="sm"/>
                          </a:ln>
                          <a:effectLst/>
                        </wps:spPr>
                        <wps:bodyPr/>
                      </wps:wsp>
                      <wps:wsp>
                        <wps:cNvPr id="262452241" name="直线 37421"/>
                        <wps:cNvCnPr>
                          <a:cxnSpLocks noChangeShapeType="1"/>
                        </wps:cNvCnPr>
                        <wps:spPr bwMode="auto">
                          <a:xfrm>
                            <a:off x="2895600" y="4730750"/>
                            <a:ext cx="310515" cy="0"/>
                          </a:xfrm>
                          <a:prstGeom prst="line">
                            <a:avLst/>
                          </a:prstGeom>
                          <a:noFill/>
                          <a:ln w="6350">
                            <a:solidFill>
                              <a:srgbClr val="000000"/>
                            </a:solidFill>
                            <a:round/>
                            <a:tailEnd type="stealth" w="sm" len="sm"/>
                          </a:ln>
                          <a:effectLst/>
                        </wps:spPr>
                        <wps:bodyPr/>
                      </wps:wsp>
                      <wps:wsp>
                        <wps:cNvPr id="1412885325" name="文本框 41760"/>
                        <wps:cNvSpPr txBox="1">
                          <a:spLocks noChangeArrowheads="1"/>
                        </wps:cNvSpPr>
                        <wps:spPr bwMode="auto">
                          <a:xfrm>
                            <a:off x="3234267" y="4639733"/>
                            <a:ext cx="741892" cy="197932"/>
                          </a:xfrm>
                          <a:prstGeom prst="rect">
                            <a:avLst/>
                          </a:prstGeom>
                          <a:noFill/>
                          <a:ln w="6350">
                            <a:solidFill>
                              <a:srgbClr val="000000"/>
                            </a:solidFill>
                            <a:miter lim="800000"/>
                            <a:tailEnd type="none" w="sm" len="sm"/>
                          </a:ln>
                          <a:effectLst/>
                        </wps:spPr>
                        <wps:txbx>
                          <w:txbxContent>
                            <w:p w14:paraId="3D164CD2">
                              <w:pPr>
                                <w:spacing w:line="0" w:lineRule="atLeast"/>
                                <w:jc w:val="center"/>
                                <w:rPr>
                                  <w:b/>
                                  <w:bCs/>
                                  <w:spacing w:val="-10"/>
                                  <w:sz w:val="23"/>
                                  <w:szCs w:val="23"/>
                                </w:rPr>
                              </w:pPr>
                              <w:r>
                                <w:rPr>
                                  <w:rFonts w:hint="eastAsia"/>
                                  <w:b/>
                                  <w:bCs/>
                                  <w:spacing w:val="-10"/>
                                  <w:sz w:val="23"/>
                                  <w:szCs w:val="23"/>
                                </w:rPr>
                                <w:t>冷轧机组</w:t>
                              </w:r>
                            </w:p>
                          </w:txbxContent>
                        </wps:txbx>
                        <wps:bodyPr rot="0" vert="horz" wrap="square" lIns="0" tIns="0" rIns="0" bIns="0" anchor="t" anchorCtr="0" upright="1">
                          <a:noAutofit/>
                        </wps:bodyPr>
                      </wps:wsp>
                      <wps:wsp>
                        <wps:cNvPr id="1797791901" name="直线 37421"/>
                        <wps:cNvCnPr>
                          <a:cxnSpLocks noChangeShapeType="1"/>
                        </wps:cNvCnPr>
                        <wps:spPr bwMode="auto">
                          <a:xfrm>
                            <a:off x="3987800" y="4722283"/>
                            <a:ext cx="310515" cy="0"/>
                          </a:xfrm>
                          <a:prstGeom prst="line">
                            <a:avLst/>
                          </a:prstGeom>
                          <a:noFill/>
                          <a:ln w="6350">
                            <a:solidFill>
                              <a:srgbClr val="000000"/>
                            </a:solidFill>
                            <a:round/>
                            <a:tailEnd type="stealth" w="sm" len="sm"/>
                          </a:ln>
                          <a:effectLst/>
                        </wps:spPr>
                        <wps:bodyPr/>
                      </wps:wsp>
                      <wps:wsp>
                        <wps:cNvPr id="868330081" name="文本框 37258"/>
                        <wps:cNvSpPr txBox="1">
                          <a:spLocks noChangeArrowheads="1"/>
                        </wps:cNvSpPr>
                        <wps:spPr bwMode="auto">
                          <a:xfrm>
                            <a:off x="4174067" y="4614333"/>
                            <a:ext cx="770467" cy="197366"/>
                          </a:xfrm>
                          <a:prstGeom prst="rect">
                            <a:avLst/>
                          </a:prstGeom>
                          <a:noFill/>
                          <a:ln>
                            <a:noFill/>
                          </a:ln>
                        </wps:spPr>
                        <wps:txbx>
                          <w:txbxContent>
                            <w:p w14:paraId="6D64EB03">
                              <w:pPr>
                                <w:spacing w:line="0" w:lineRule="atLeast"/>
                                <w:jc w:val="center"/>
                                <w:rPr>
                                  <w:spacing w:val="-10"/>
                                </w:rPr>
                              </w:pPr>
                              <w:r>
                                <w:rPr>
                                  <w:rFonts w:hint="eastAsia"/>
                                  <w:spacing w:val="-10"/>
                                </w:rPr>
                                <w:t>冷轧材</w:t>
                              </w:r>
                            </w:p>
                          </w:txbxContent>
                        </wps:txbx>
                        <wps:bodyPr rot="0" vert="horz" wrap="square" lIns="0" tIns="0" rIns="0" bIns="0" anchor="t" anchorCtr="0" upright="1">
                          <a:noAutofit/>
                        </wps:bodyPr>
                      </wps:wsp>
                      <wps:wsp>
                        <wps:cNvPr id="1200640887" name="直线 41759"/>
                        <wps:cNvCnPr>
                          <a:cxnSpLocks noChangeShapeType="1"/>
                        </wps:cNvCnPr>
                        <wps:spPr bwMode="auto">
                          <a:xfrm flipH="1">
                            <a:off x="4559300" y="4809067"/>
                            <a:ext cx="0" cy="285641"/>
                          </a:xfrm>
                          <a:prstGeom prst="line">
                            <a:avLst/>
                          </a:prstGeom>
                          <a:noFill/>
                          <a:ln w="6350">
                            <a:solidFill>
                              <a:srgbClr val="000000"/>
                            </a:solidFill>
                            <a:round/>
                            <a:tailEnd type="stealth" w="sm" len="sm"/>
                          </a:ln>
                          <a:effectLst/>
                        </wps:spPr>
                        <wps:bodyPr/>
                      </wps:wsp>
                      <wps:wsp>
                        <wps:cNvPr id="1770217606" name="文本框 37383"/>
                        <wps:cNvSpPr txBox="1">
                          <a:spLocks noChangeArrowheads="1"/>
                        </wps:cNvSpPr>
                        <wps:spPr bwMode="auto">
                          <a:xfrm>
                            <a:off x="3979333" y="5105400"/>
                            <a:ext cx="1201420" cy="226098"/>
                          </a:xfrm>
                          <a:prstGeom prst="rect">
                            <a:avLst/>
                          </a:prstGeom>
                          <a:noFill/>
                          <a:ln>
                            <a:noFill/>
                          </a:ln>
                        </wps:spPr>
                        <wps:txbx>
                          <w:txbxContent>
                            <w:p w14:paraId="326BB621">
                              <w:pPr>
                                <w:spacing w:line="0" w:lineRule="atLeast"/>
                                <w:jc w:val="center"/>
                                <w:rPr>
                                  <w:b/>
                                  <w:spacing w:val="-10"/>
                                  <w:sz w:val="23"/>
                                  <w:szCs w:val="23"/>
                                </w:rPr>
                              </w:pPr>
                              <w:r>
                                <w:rPr>
                                  <w:rFonts w:hint="eastAsia"/>
                                  <w:b/>
                                  <w:spacing w:val="-10"/>
                                  <w:sz w:val="23"/>
                                  <w:szCs w:val="23"/>
                                </w:rPr>
                                <w:t>外售</w:t>
                              </w:r>
                            </w:p>
                          </w:txbxContent>
                        </wps:txbx>
                        <wps:bodyPr rot="0" vert="horz" wrap="square" lIns="0" tIns="0" rIns="0" bIns="0" anchor="t" anchorCtr="0" upright="1">
                          <a:noAutofit/>
                        </wps:bodyPr>
                      </wps:wsp>
                      <wps:wsp>
                        <wps:cNvPr id="1325909830" name="直线 41759"/>
                        <wps:cNvCnPr>
                          <a:cxnSpLocks noChangeShapeType="1"/>
                        </wps:cNvCnPr>
                        <wps:spPr bwMode="auto">
                          <a:xfrm flipH="1">
                            <a:off x="4745567" y="2015067"/>
                            <a:ext cx="0" cy="285641"/>
                          </a:xfrm>
                          <a:prstGeom prst="line">
                            <a:avLst/>
                          </a:prstGeom>
                          <a:noFill/>
                          <a:ln w="6350">
                            <a:solidFill>
                              <a:srgbClr val="000000"/>
                            </a:solidFill>
                            <a:round/>
                            <a:tailEnd type="stealth" w="sm" len="sm"/>
                          </a:ln>
                          <a:effectLst/>
                        </wps:spPr>
                        <wps:bodyPr/>
                      </wps:wsp>
                      <wps:wsp>
                        <wps:cNvPr id="1253364195" name="文本框 37383"/>
                        <wps:cNvSpPr txBox="1">
                          <a:spLocks noChangeArrowheads="1"/>
                        </wps:cNvSpPr>
                        <wps:spPr bwMode="auto">
                          <a:xfrm>
                            <a:off x="4174067" y="2319867"/>
                            <a:ext cx="1201420" cy="226098"/>
                          </a:xfrm>
                          <a:prstGeom prst="rect">
                            <a:avLst/>
                          </a:prstGeom>
                          <a:noFill/>
                          <a:ln>
                            <a:noFill/>
                          </a:ln>
                        </wps:spPr>
                        <wps:txbx>
                          <w:txbxContent>
                            <w:p w14:paraId="39B5A52E">
                              <w:pPr>
                                <w:spacing w:line="0" w:lineRule="atLeast"/>
                                <w:jc w:val="center"/>
                                <w:rPr>
                                  <w:b/>
                                  <w:spacing w:val="-10"/>
                                  <w:sz w:val="23"/>
                                  <w:szCs w:val="23"/>
                                </w:rPr>
                              </w:pPr>
                              <w:r>
                                <w:rPr>
                                  <w:rFonts w:hint="eastAsia"/>
                                  <w:b/>
                                  <w:spacing w:val="-10"/>
                                  <w:sz w:val="23"/>
                                  <w:szCs w:val="23"/>
                                </w:rPr>
                                <w:t>外售</w:t>
                              </w:r>
                            </w:p>
                          </w:txbxContent>
                        </wps:txbx>
                        <wps:bodyPr rot="0" vert="horz" wrap="square" lIns="0" tIns="0" rIns="0" bIns="0" anchor="t" anchorCtr="0" upright="1">
                          <a:noAutofit/>
                        </wps:bodyPr>
                      </wps:wsp>
                      <wps:wsp>
                        <wps:cNvPr id="397921748" name="直线 37421"/>
                        <wps:cNvCnPr>
                          <a:cxnSpLocks noChangeShapeType="1"/>
                        </wps:cNvCnPr>
                        <wps:spPr bwMode="auto">
                          <a:xfrm>
                            <a:off x="4097867" y="3274483"/>
                            <a:ext cx="310515" cy="0"/>
                          </a:xfrm>
                          <a:prstGeom prst="line">
                            <a:avLst/>
                          </a:prstGeom>
                          <a:noFill/>
                          <a:ln w="6350">
                            <a:solidFill>
                              <a:srgbClr val="000000"/>
                            </a:solidFill>
                            <a:round/>
                            <a:tailEnd type="stealth" w="sm" len="sm"/>
                          </a:ln>
                          <a:effectLst/>
                        </wps:spPr>
                        <wps:bodyPr/>
                      </wps:wsp>
                      <wps:wsp>
                        <wps:cNvPr id="907313646" name="文本框 37258"/>
                        <wps:cNvSpPr txBox="1">
                          <a:spLocks noChangeArrowheads="1"/>
                        </wps:cNvSpPr>
                        <wps:spPr bwMode="auto">
                          <a:xfrm>
                            <a:off x="4326467" y="3208867"/>
                            <a:ext cx="770467" cy="197366"/>
                          </a:xfrm>
                          <a:prstGeom prst="rect">
                            <a:avLst/>
                          </a:prstGeom>
                          <a:noFill/>
                          <a:ln>
                            <a:noFill/>
                          </a:ln>
                        </wps:spPr>
                        <wps:txbx>
                          <w:txbxContent>
                            <w:p w14:paraId="4440C183">
                              <w:pPr>
                                <w:spacing w:line="0" w:lineRule="atLeast"/>
                                <w:jc w:val="center"/>
                                <w:rPr>
                                  <w:spacing w:val="-10"/>
                                </w:rPr>
                              </w:pPr>
                              <w:r>
                                <w:rPr>
                                  <w:rFonts w:hint="eastAsia"/>
                                  <w:spacing w:val="-10"/>
                                </w:rPr>
                                <w:t>钢渣微粉</w:t>
                              </w:r>
                            </w:p>
                          </w:txbxContent>
                        </wps:txbx>
                        <wps:bodyPr rot="0" vert="horz" wrap="square" lIns="0" tIns="0" rIns="0" bIns="0" anchor="t" anchorCtr="0" upright="1">
                          <a:noAutofit/>
                        </wps:bodyPr>
                      </wps:wsp>
                      <wps:wsp>
                        <wps:cNvPr id="1764844557" name="直线 41759"/>
                        <wps:cNvCnPr>
                          <a:cxnSpLocks noChangeShapeType="1"/>
                        </wps:cNvCnPr>
                        <wps:spPr bwMode="auto">
                          <a:xfrm flipH="1">
                            <a:off x="4703233" y="3403600"/>
                            <a:ext cx="0" cy="285641"/>
                          </a:xfrm>
                          <a:prstGeom prst="line">
                            <a:avLst/>
                          </a:prstGeom>
                          <a:noFill/>
                          <a:ln w="6350">
                            <a:solidFill>
                              <a:srgbClr val="000000"/>
                            </a:solidFill>
                            <a:round/>
                            <a:tailEnd type="stealth" w="sm" len="sm"/>
                          </a:ln>
                          <a:effectLst/>
                        </wps:spPr>
                        <wps:bodyPr/>
                      </wps:wsp>
                      <wps:wsp>
                        <wps:cNvPr id="1164728068" name="文本框 37383"/>
                        <wps:cNvSpPr txBox="1">
                          <a:spLocks noChangeArrowheads="1"/>
                        </wps:cNvSpPr>
                        <wps:spPr bwMode="auto">
                          <a:xfrm>
                            <a:off x="4131733" y="3708400"/>
                            <a:ext cx="1201420" cy="226098"/>
                          </a:xfrm>
                          <a:prstGeom prst="rect">
                            <a:avLst/>
                          </a:prstGeom>
                          <a:noFill/>
                          <a:ln>
                            <a:noFill/>
                          </a:ln>
                        </wps:spPr>
                        <wps:txbx>
                          <w:txbxContent>
                            <w:p w14:paraId="6E3F5468">
                              <w:pPr>
                                <w:spacing w:line="0" w:lineRule="atLeast"/>
                                <w:jc w:val="center"/>
                                <w:rPr>
                                  <w:b/>
                                  <w:spacing w:val="-10"/>
                                  <w:sz w:val="23"/>
                                  <w:szCs w:val="23"/>
                                </w:rPr>
                              </w:pPr>
                              <w:r>
                                <w:rPr>
                                  <w:rFonts w:hint="eastAsia"/>
                                  <w:b/>
                                  <w:spacing w:val="-10"/>
                                  <w:sz w:val="23"/>
                                  <w:szCs w:val="23"/>
                                </w:rPr>
                                <w:t>外售</w:t>
                              </w:r>
                            </w:p>
                          </w:txbxContent>
                        </wps:txbx>
                        <wps:bodyPr rot="0" vert="horz" wrap="square" lIns="0" tIns="0" rIns="0" bIns="0" anchor="t" anchorCtr="0" upright="1">
                          <a:noAutofit/>
                        </wps:bodyPr>
                      </wps:wsp>
                    </wpg:wgp>
                  </a:graphicData>
                </a:graphic>
              </wp:inline>
            </w:drawing>
          </mc:Choice>
          <mc:Fallback>
            <w:pict>
              <v:group id="组合 3" o:spid="_x0000_s1026" o:spt="203" style="height:419.8pt;width:423.25pt;" coordsize="5375487,5331498" o:gfxdata="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">
                <o:lock v:ext="edit" aspectratio="f"/>
                <v:shape id="文本框 37247" o:spid="_x0000_s1026" o:spt="202" type="#_x0000_t202" style="position:absolute;left:2023533;top:1786467;height:168157;width:432435;" filled="f" stroked="f" coordsize="21600,21600" o:gfxdata="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rzYe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2C802D89">
                        <w:pPr>
                          <w:spacing w:line="0" w:lineRule="atLeast"/>
                          <w:jc w:val="center"/>
                          <w:rPr>
                            <w:spacing w:val="-10"/>
                            <w:szCs w:val="21"/>
                          </w:rPr>
                        </w:pPr>
                        <w:r>
                          <w:rPr>
                            <w:rFonts w:hint="eastAsia"/>
                            <w:spacing w:val="-10"/>
                            <w:szCs w:val="21"/>
                          </w:rPr>
                          <w:t>铁水</w:t>
                        </w:r>
                      </w:p>
                    </w:txbxContent>
                  </v:textbox>
                </v:shape>
                <v:line id="直线 37271" o:spid="_x0000_s1026" o:spt="20" style="position:absolute;left:2590800;top:491067;flip:y;height:0;width:2009140;" filled="f" stroked="t" coordsize="21600,21600" o:gfxdata="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0k7C/&#10;AAAA4gAAAA8AAAAAAAAAAQAgAAAAIgAAAGRycy9kb3ducmV2LnhtbFBLAQIUABQAAAAIAIdO4kAz&#10;LwWeOwAAADkAAAAQAAAAAAAAAAEAIAAAAA4BAABkcnMvc2hhcGV4bWwueG1sUEsFBgAAAAAGAAYA&#10;WwEAALgDAAAAAA==&#10;">
                  <v:fill on="f" focussize="0,0"/>
                  <v:stroke weight="0.5pt" color="#000000" joinstyle="round" endarrowwidth="narrow" endarrowlength="short"/>
                  <v:imagedata o:title=""/>
                  <o:lock v:ext="edit" aspectratio="f"/>
                </v:line>
                <v:line id="直线 37272" o:spid="_x0000_s1026" o:spt="20" style="position:absolute;left:2595033;top:203200;height:287655;width:0;" filled="f" stroked="t" coordsize="21600,21600" o:gfxdata="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hJhGMQAAADi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shape id="文本框 37273" o:spid="_x0000_s1026" o:spt="202" type="#_x0000_t202" style="position:absolute;left:2159000;top:16933;height:226060;width:833120;" filled="f" stroked="f" coordsize="21600,21600" o:gfxdata="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80&#10;5Zf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8C9017C">
                        <w:pPr>
                          <w:spacing w:line="0" w:lineRule="atLeast"/>
                          <w:jc w:val="center"/>
                          <w:rPr>
                            <w:spacing w:val="-10"/>
                            <w:sz w:val="23"/>
                            <w:szCs w:val="23"/>
                          </w:rPr>
                        </w:pPr>
                        <w:r>
                          <w:rPr>
                            <w:rFonts w:hint="eastAsia"/>
                            <w:spacing w:val="-10"/>
                            <w:sz w:val="23"/>
                            <w:szCs w:val="23"/>
                          </w:rPr>
                          <w:t>混匀含铁料</w:t>
                        </w:r>
                      </w:p>
                    </w:txbxContent>
                  </v:textbox>
                </v:shape>
                <v:line id="直线 37274" o:spid="_x0000_s1026" o:spt="20" style="position:absolute;left:3263900;top:220133;height:287655;width:0;" filled="f" stroked="t" coordsize="21600,21600" o:gfxdata="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T&#10;/T/CAAAA4gAAAA8AAAAAAAAAAQAgAAAAIgAAAGRycy9kb3ducmV2LnhtbFBLAQIUABQAAAAIAIdO&#10;4kAzLwWeOwAAADkAAAAQAAAAAAAAAAEAIAAAABEBAABkcnMvc2hhcGV4bWwueG1sUEsFBgAAAAAG&#10;AAYAWwEAALsDAAAAAA==&#10;">
                  <v:fill on="f" focussize="0,0"/>
                  <v:stroke weight="0.5pt" color="#000000" joinstyle="round" endarrow="classic" endarrowwidth="narrow" endarrowlength="short"/>
                  <v:imagedata o:title=""/>
                  <o:lock v:ext="edit" aspectratio="f"/>
                </v:line>
                <v:line id="直线 37275" o:spid="_x0000_s1026" o:spt="20" style="position:absolute;left:4584700;top:194733;height:287655;width:0;" filled="f" stroked="t" coordsize="21600,21600" o:gfxdata="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fQu&#10;R8EAAADiAAAADwAAAAAAAAABACAAAAAiAAAAZHJzL2Rvd25yZXYueG1sUEsBAhQAFAAAAAgAh07i&#10;QDMvBZ47AAAAOQAAABAAAAAAAAAAAQAgAAAAEAEAAGRycy9zaGFwZXhtbC54bWxQSwUGAAAAAAYA&#10;BgBbAQAAugMAAAAA&#10;">
                  <v:fill on="f" focussize="0,0"/>
                  <v:stroke weight="0.5pt" color="#000000" joinstyle="round" endarrow="classic" endarrowwidth="narrow" endarrowlength="short"/>
                  <v:imagedata o:title=""/>
                  <o:lock v:ext="edit" aspectratio="f"/>
                </v:line>
                <v:shape id="文本框 37276" o:spid="_x0000_s1026" o:spt="202" type="#_x0000_t202" style="position:absolute;left:2921000;top:16933;height:226060;width:688340;" filled="f" stroked="f" coordsize="21600,21600" o:gfxdata="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nsgc8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779582AF">
                        <w:pPr>
                          <w:spacing w:line="0" w:lineRule="atLeast"/>
                          <w:jc w:val="center"/>
                          <w:rPr>
                            <w:spacing w:val="-10"/>
                            <w:sz w:val="23"/>
                            <w:szCs w:val="23"/>
                          </w:rPr>
                        </w:pPr>
                        <w:r>
                          <w:rPr>
                            <w:rFonts w:hint="eastAsia"/>
                            <w:spacing w:val="-10"/>
                            <w:sz w:val="23"/>
                            <w:szCs w:val="23"/>
                          </w:rPr>
                          <w:t>返矿</w:t>
                        </w:r>
                      </w:p>
                    </w:txbxContent>
                  </v:textbox>
                </v:shape>
                <v:shape id="文本框 37277" o:spid="_x0000_s1026" o:spt="202" type="#_x0000_t202" style="position:absolute;left:4318000;top:0;height:226060;width:499745;" filled="f" stroked="f" coordsize="21600,21600" o:gfxdata="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5QvtP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0EC14134">
                        <w:pPr>
                          <w:spacing w:line="0" w:lineRule="atLeast"/>
                          <w:jc w:val="center"/>
                          <w:rPr>
                            <w:spacing w:val="-10"/>
                            <w:sz w:val="23"/>
                            <w:szCs w:val="23"/>
                          </w:rPr>
                        </w:pPr>
                        <w:r>
                          <w:rPr>
                            <w:rFonts w:hint="eastAsia"/>
                            <w:spacing w:val="-10"/>
                            <w:sz w:val="23"/>
                            <w:szCs w:val="23"/>
                          </w:rPr>
                          <w:t>焦粉</w:t>
                        </w:r>
                      </w:p>
                    </w:txbxContent>
                  </v:textbox>
                </v:shape>
                <v:shape id="文本框 37279" o:spid="_x0000_s1026" o:spt="202" type="#_x0000_t202" style="position:absolute;left:3073400;top:694267;height:226060;width:1317625;" filled="f" stroked="t" coordsize="21600,21600" o:gfxdata="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GREBMQAAADjAAAADwAAAAAAAAABACAAAAAiAAAAZHJzL2Rvd25yZXYueG1sUEsBAhQAFAAAAAgA&#10;h07iQDMvBZ47AAAAOQAAABAAAAAAAAAAAQAgAAAAEwEAAGRycy9zaGFwZXhtbC54bWxQSwUGAAAA&#10;AAYABgBbAQAAvQMAAAAA&#10;">
                  <v:fill on="f" focussize="0,0"/>
                  <v:stroke weight="0.5pt" color="#000000" miterlimit="8" joinstyle="miter" endarrowwidth="narrow" endarrowlength="short"/>
                  <v:imagedata o:title=""/>
                  <o:lock v:ext="edit" aspectratio="f"/>
                  <v:textbox inset="0mm,0mm,0mm,0mm">
                    <w:txbxContent>
                      <w:p w14:paraId="21935064">
                        <w:pPr>
                          <w:spacing w:line="0" w:lineRule="atLeast"/>
                          <w:jc w:val="center"/>
                          <w:rPr>
                            <w:b/>
                            <w:bCs/>
                            <w:spacing w:val="-10"/>
                            <w:sz w:val="23"/>
                            <w:szCs w:val="23"/>
                          </w:rPr>
                        </w:pPr>
                        <w:r>
                          <w:rPr>
                            <w:rFonts w:hint="eastAsia"/>
                            <w:b/>
                            <w:bCs/>
                            <w:spacing w:val="-10"/>
                            <w:sz w:val="23"/>
                            <w:szCs w:val="23"/>
                          </w:rPr>
                          <w:t>烧结机</w:t>
                        </w:r>
                      </w:p>
                    </w:txbxContent>
                  </v:textbox>
                </v:shape>
                <v:shape id="文本框 37280" o:spid="_x0000_s1026" o:spt="202" type="#_x0000_t202" style="position:absolute;left:1727200;top:1532467;height:226098;width:1308735;" filled="f" stroked="t" coordsize="21600,21600" o:gfxdata="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IROZ8QAAADiAAAADwAAAAAAAAABACAAAAAiAAAAZHJzL2Rvd25yZXYueG1sUEsBAhQAFAAAAAgA&#10;h07iQDMvBZ47AAAAOQAAABAAAAAAAAAAAQAgAAAAEwEAAGRycy9zaGFwZXhtbC54bWxQSwUGAAAA&#10;AAYABgBbAQAAvQMAAAAA&#10;">
                  <v:fill on="f" focussize="0,0"/>
                  <v:stroke weight="0.5pt" color="#000000" miterlimit="8" joinstyle="miter" endarrowwidth="narrow" endarrowlength="short"/>
                  <v:imagedata o:title=""/>
                  <o:lock v:ext="edit" aspectratio="f"/>
                  <v:textbox inset="0mm,0mm,0mm,0mm">
                    <w:txbxContent>
                      <w:p w14:paraId="37F5757B">
                        <w:pPr>
                          <w:spacing w:line="0" w:lineRule="atLeast"/>
                          <w:jc w:val="center"/>
                          <w:rPr>
                            <w:b/>
                            <w:bCs/>
                            <w:spacing w:val="-10"/>
                            <w:sz w:val="23"/>
                            <w:szCs w:val="23"/>
                          </w:rPr>
                        </w:pPr>
                        <w:r>
                          <w:rPr>
                            <w:rFonts w:hint="eastAsia"/>
                            <w:b/>
                            <w:bCs/>
                            <w:spacing w:val="-10"/>
                            <w:sz w:val="23"/>
                            <w:szCs w:val="23"/>
                          </w:rPr>
                          <w:t>高炉</w:t>
                        </w:r>
                      </w:p>
                    </w:txbxContent>
                  </v:textbox>
                </v:shape>
                <v:line id="直线 37283" o:spid="_x0000_s1026" o:spt="20" style="position:absolute;left:2391833;top:1752600;height:318049;width:0;" filled="f" stroked="t" coordsize="21600,21600" o:gfxdata="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qg4RfFAAAA4gAAAA8AAAAAAAAAAQAgAAAAIgAAAGRycy9kb3ducmV2LnhtbFBLAQIUABQAAAAI&#10;AIdO4kAzLwWeOwAAADkAAAAQAAAAAAAAAAEAIAAAABQBAABkcnMvc2hhcGV4bWwueG1sUEsFBgAA&#10;AAAGAAYAWwEAAL4DAAAAAA==&#10;">
                  <v:fill on="f" focussize="0,0"/>
                  <v:stroke weight="0.5pt" color="#000000" joinstyle="round" endarrow="classic" endarrowwidth="narrow" endarrowlength="short"/>
                  <v:imagedata o:title=""/>
                  <o:lock v:ext="edit" aspectratio="f"/>
                </v:line>
                <v:shape id="文本框 37286" o:spid="_x0000_s1026" o:spt="202" type="#_x0000_t202" style="position:absolute;left:1744133;top:745067;height:226060;width:688340;" filled="f" stroked="f" coordsize="21600,21600" o:gfxdata="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5mRV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32C7DAEF">
                        <w:pPr>
                          <w:spacing w:line="0" w:lineRule="atLeast"/>
                          <w:jc w:val="center"/>
                          <w:rPr>
                            <w:spacing w:val="-10"/>
                          </w:rPr>
                        </w:pPr>
                        <w:r>
                          <w:rPr>
                            <w:rFonts w:hint="eastAsia"/>
                            <w:spacing w:val="-10"/>
                          </w:rPr>
                          <w:t>焦炭</w:t>
                        </w:r>
                      </w:p>
                    </w:txbxContent>
                  </v:textbox>
                </v:shape>
                <v:line id="直线 37368" o:spid="_x0000_s1026" o:spt="20" style="position:absolute;left:736600;top:508000;height:0;width:817880;" filled="f" stroked="t" coordsize="21600,21600" o:gfxdata="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BTg+/&#10;AAAA4wAAAA8AAAAAAAAAAQAgAAAAIgAAAGRycy9kb3ducmV2LnhtbFBLAQIUABQAAAAIAIdO4kAz&#10;LwWeOwAAADkAAAAQAAAAAAAAAAEAIAAAAA4BAABkcnMvc2hhcGV4bWwueG1sUEsFBgAAAAAGAAYA&#10;WwEAALgDAAAAAA==&#10;">
                  <v:fill on="f" focussize="0,0"/>
                  <v:stroke weight="0.5pt" color="#000000" joinstyle="round" endarrowwidth="narrow" endarrowlength="short"/>
                  <v:imagedata o:title=""/>
                  <o:lock v:ext="edit" aspectratio="f"/>
                </v:line>
                <v:line id="直线 37369" o:spid="_x0000_s1026" o:spt="20" style="position:absolute;left:715433;top:228600;height:287655;width:0;" filled="f" stroked="t" coordsize="21600,21600" o:gfxdata="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pRgG&#10;wAAAAOI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line>
                <v:shape id="文本框 37370" o:spid="_x0000_s1026" o:spt="202" type="#_x0000_t202" style="position:absolute;left:330200;top:0;height:226695;width:831215;" filled="f" stroked="f" coordsize="21600,21600" o:gfxdata="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9a7o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2DEA8814">
                        <w:pPr>
                          <w:spacing w:line="0" w:lineRule="atLeast"/>
                          <w:jc w:val="center"/>
                          <w:rPr>
                            <w:spacing w:val="-10"/>
                            <w:sz w:val="23"/>
                            <w:szCs w:val="23"/>
                          </w:rPr>
                        </w:pPr>
                        <w:r>
                          <w:rPr>
                            <w:rFonts w:hint="eastAsia"/>
                            <w:spacing w:val="-10"/>
                            <w:sz w:val="23"/>
                            <w:szCs w:val="23"/>
                          </w:rPr>
                          <w:t>球团混匀矿</w:t>
                        </w:r>
                      </w:p>
                    </w:txbxContent>
                  </v:textbox>
                </v:shape>
                <v:line id="直线 37372" o:spid="_x0000_s1026" o:spt="20" style="position:absolute;left:1562100;top:220133;height:287655;width:0;" filled="f" stroked="t" coordsize="21600,21600" o:gfxdata="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tOp&#10;8cEAAADiAAAADwAAAAAAAAABACAAAAAiAAAAZHJzL2Rvd25yZXYueG1sUEsBAhQAFAAAAAgAh07i&#10;QDMvBZ47AAAAOQAAABAAAAAAAAAAAQAgAAAAEAEAAGRycy9zaGFwZXhtbC54bWxQSwUGAAAAAAYA&#10;BgBbAQAAugMAAAAA&#10;">
                  <v:fill on="f" focussize="0,0"/>
                  <v:stroke weight="0.5pt" color="#000000" joinstyle="round" endarrow="classic" endarrowwidth="narrow" endarrowlength="short"/>
                  <v:imagedata o:title=""/>
                  <o:lock v:ext="edit" aspectratio="f"/>
                </v:line>
                <v:shape id="文本框 37374" o:spid="_x0000_s1026" o:spt="202" type="#_x0000_t202" style="position:absolute;left:1236133;top:0;height:226695;width:688975;" filled="f" stroked="f" coordsize="21600,21600" o:gfxdata="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7xE&#10;mc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1628B4">
                        <w:pPr>
                          <w:spacing w:line="0" w:lineRule="atLeast"/>
                          <w:jc w:val="center"/>
                          <w:rPr>
                            <w:spacing w:val="-10"/>
                            <w:sz w:val="23"/>
                            <w:szCs w:val="23"/>
                          </w:rPr>
                        </w:pPr>
                        <w:r>
                          <w:rPr>
                            <w:rFonts w:hint="eastAsia"/>
                            <w:spacing w:val="-10"/>
                            <w:sz w:val="23"/>
                            <w:szCs w:val="23"/>
                          </w:rPr>
                          <w:t>膨润土</w:t>
                        </w:r>
                      </w:p>
                    </w:txbxContent>
                  </v:textbox>
                </v:shape>
                <v:line id="直线 37375" o:spid="_x0000_s1026" o:spt="20" style="position:absolute;left:1155700;top:508000;height:206375;width:635;" filled="f" stroked="t" coordsize="21600,21600" o:gfxdata="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XMF&#10;dMEAAADjAAAADwAAAAAAAAABACAAAAAiAAAAZHJzL2Rvd25yZXYueG1sUEsBAhQAFAAAAAgAh07i&#10;QDMvBZ47AAAAOQAAABAAAAAAAAAAAQAgAAAAEAEAAGRycy9zaGFwZXhtbC54bWxQSwUGAAAAAAYA&#10;BgBbAQAAugMAAAAA&#10;">
                  <v:fill on="f" focussize="0,0"/>
                  <v:stroke weight="0.5pt" color="#000000" joinstyle="round" endarrow="classic" endarrowwidth="narrow" endarrowlength="short"/>
                  <v:imagedata o:title=""/>
                  <o:lock v:ext="edit" aspectratio="f"/>
                </v:line>
                <v:shape id="文本框 37376" o:spid="_x0000_s1026" o:spt="202" type="#_x0000_t202" style="position:absolute;left:0;top:719667;height:197485;width:1928495;" filled="f" stroked="t" coordsize="21600,21600" o:gfxdata="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fIlu&#10;wAAAAOMAAAAPAAAAAAAAAAEAIAAAACIAAABkcnMvZG93bnJldi54bWxQSwECFAAUAAAACACHTuJA&#10;My8FnjsAAAA5AAAAEAAAAAAAAAABACAAAAAPAQAAZHJzL3NoYXBleG1sLnhtbFBLBQYAAAAABgAG&#10;AFsBAAC5AwAAAAA=&#10;">
                  <v:fill on="f" focussize="0,0"/>
                  <v:stroke weight="0.5pt" color="#000000" miterlimit="8" joinstyle="miter" endarrowwidth="narrow" endarrowlength="short"/>
                  <v:imagedata o:title=""/>
                  <o:lock v:ext="edit" aspectratio="f"/>
                  <v:textbox inset="0mm,0mm,0mm,0mm">
                    <w:txbxContent>
                      <w:p w14:paraId="0EAA88B0">
                        <w:pPr>
                          <w:spacing w:line="0" w:lineRule="atLeast"/>
                          <w:jc w:val="center"/>
                          <w:rPr>
                            <w:b/>
                            <w:bCs/>
                            <w:spacing w:val="-10"/>
                            <w:sz w:val="23"/>
                            <w:szCs w:val="23"/>
                          </w:rPr>
                        </w:pPr>
                        <w:r>
                          <w:rPr>
                            <w:rFonts w:hint="eastAsia"/>
                            <w:b/>
                            <w:bCs/>
                            <w:spacing w:val="-10"/>
                            <w:sz w:val="23"/>
                            <w:szCs w:val="23"/>
                          </w:rPr>
                          <w:t>链篦机回转窑/竖炉/带式焙烧机</w:t>
                        </w:r>
                      </w:p>
                    </w:txbxContent>
                  </v:textbox>
                </v:shape>
                <v:shape id="任意多边形 37377" o:spid="_x0000_s1026" o:spt="100" style="position:absolute;left:1143000;top:948267;height:575310;width:824865;" filled="f" stroked="t" coordsize="1344,1861" o:gfxdata="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M5&#10;Y8EAAADjAAAADwAAAAAAAAABACAAAAAiAAAAZHJzL2Rvd25yZXYueG1sUEsBAhQAFAAAAAgAh07i&#10;QDMvBZ47AAAAOQAAABAAAAAAAAAAAQAgAAAAEAEAAGRycy9zaGFwZXhtbC54bWxQSwUGAAAAAAYA&#10;BgBbAQAAugMAAAAA&#10;" path="m0,0l0,671,1344,671,1344,1861e">
                  <v:path o:connectlocs="0,0;0,64125888;506251687,64125888;506251687,177851475" o:connectangles="0,0,0,0"/>
                  <v:fill on="f" focussize="0,0"/>
                  <v:stroke weight="0.5pt" color="#000000" joinstyle="round" endarrow="classic" endarrowwidth="narrow" endarrowlength="short"/>
                  <v:imagedata o:title=""/>
                  <o:lock v:ext="edit" aspectratio="f"/>
                </v:shape>
                <v:shape id="任意多边形 37378" o:spid="_x0000_s1026" o:spt="100" style="position:absolute;left:2798233;top:931333;flip:x;height:584200;width:810895;" filled="f" stroked="t" coordsize="1344,1861" o:gfxdata="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z8YZsQAAADjAAAADwAAAAAAAAABACAAAAAiAAAAZHJzL2Rvd25yZXYueG1sUEsBAhQAFAAAAAgA&#10;h07iQDMvBZ47AAAAOQAAABAAAAAAAAAAAQAgAAAAEwEAAGRycy9zaGFwZXhtbC54bWxQSwUGAAAA&#10;AAYABgBbAQAAvQMAAAAA&#10;" path="m0,0l0,671,1344,671,1344,1861e">
                  <v:path o:connectlocs="0,0;0,66122901;489249033,66122901;489249033,183390456" o:connectangles="0,0,0,0"/>
                  <v:fill on="f" focussize="0,0"/>
                  <v:stroke weight="0.5pt" color="#000000" joinstyle="round" endarrow="classic" endarrowwidth="narrow" endarrowlength="short"/>
                  <v:imagedata o:title=""/>
                  <o:lock v:ext="edit" aspectratio="f"/>
                </v:shape>
                <v:shape id="文本框 37387" o:spid="_x0000_s1026" o:spt="202" type="#_x0000_t202" style="position:absolute;left:3048000;top:973667;height:226060;width:688340;" filled="f" stroked="f" coordsize="21600,21600" o:gfxdata="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m&#10;nxv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A64CD2F">
                        <w:pPr>
                          <w:spacing w:line="0" w:lineRule="atLeast"/>
                          <w:jc w:val="center"/>
                          <w:rPr>
                            <w:spacing w:val="-10"/>
                            <w:szCs w:val="21"/>
                          </w:rPr>
                        </w:pPr>
                        <w:r>
                          <w:rPr>
                            <w:rFonts w:hint="eastAsia"/>
                            <w:spacing w:val="-10"/>
                            <w:szCs w:val="21"/>
                          </w:rPr>
                          <w:t>烧结矿</w:t>
                        </w:r>
                      </w:p>
                    </w:txbxContent>
                  </v:textbox>
                </v:shape>
                <v:shape id="文本框 37391" o:spid="_x0000_s1026" o:spt="202" type="#_x0000_t202" style="position:absolute;left:2345267;top:753533;height:226060;width:688340;" filled="f" stroked="f" coordsize="21600,21600" o:gfxdata="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N3&#10;Q7j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686313E">
                        <w:pPr>
                          <w:spacing w:line="0" w:lineRule="atLeast"/>
                          <w:jc w:val="center"/>
                          <w:rPr>
                            <w:spacing w:val="-10"/>
                          </w:rPr>
                        </w:pPr>
                        <w:r>
                          <w:rPr>
                            <w:rFonts w:hint="eastAsia"/>
                            <w:spacing w:val="-10"/>
                          </w:rPr>
                          <w:t>煤</w:t>
                        </w:r>
                      </w:p>
                    </w:txbxContent>
                  </v:textbox>
                </v:shape>
                <v:line id="直线 37395" o:spid="_x0000_s1026" o:spt="20" style="position:absolute;left:2019300;top:922867;height:264160;width:0;" filled="f" stroked="t" coordsize="21600,21600" o:gfxdata="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lginHFAAAA4wAAAA8AAAAAAAAAAQAgAAAAIgAAAGRycy9kb3ducmV2LnhtbFBLAQIUABQAAAAI&#10;AIdO4kAzLwWeOwAAADkAAAAQAAAAAAAAAAEAIAAAABQBAABkcnMvc2hhcGV4bWwueG1sUEsFBgAA&#10;AAAGAAYAWwEAAL4DAAAAAA==&#10;">
                  <v:fill on="f" focussize="0,0"/>
                  <v:stroke weight="0.5pt" color="#000000" joinstyle="round" endarrow="classic" endarrowwidth="narrow" endarrowlength="short"/>
                  <v:imagedata o:title=""/>
                  <o:lock v:ext="edit" aspectratio="f"/>
                </v:line>
                <v:line id="直线 37397" o:spid="_x0000_s1026" o:spt="20" style="position:absolute;left:2023533;top:1176867;height:0;width:658495;" filled="f" stroked="t" coordsize="21600,21600" o:gfxdata="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lHp&#10;F8EAAADiAAAADwAAAAAAAAABACAAAAAiAAAAZHJzL2Rvd25yZXYueG1sUEsBAhQAFAAAAAgAh07i&#10;QDMvBZ47AAAAOQAAABAAAAAAAAAAAQAgAAAAEAEAAGRycy9zaGFwZXhtbC54bWxQSwUGAAAAAAYA&#10;BgBbAQAAugMAAAAA&#10;">
                  <v:fill on="f" focussize="0,0"/>
                  <v:stroke weight="0.5pt" color="#000000" joinstyle="round" endarrowwidth="narrow" endarrowlength="short"/>
                  <v:imagedata o:title=""/>
                  <o:lock v:ext="edit" aspectratio="f"/>
                </v:line>
                <v:line id="直线 37398" o:spid="_x0000_s1026" o:spt="20" style="position:absolute;left:2696633;top:914400;height:264160;width:0;" filled="f" stroked="t" coordsize="21600,21600" o:gfxdata="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yjLPcQAAADi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line id="直线 37401" o:spid="_x0000_s1026" o:spt="20" style="position:absolute;left:2374900;top:1168400;flip:x;height:354118;width:635;" filled="f" stroked="t" coordsize="21600,21600" o:gfxdata="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JZ/&#10;wAAAAOM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line>
                <v:shape id="文本框 37408" o:spid="_x0000_s1026" o:spt="202" type="#_x0000_t202" style="position:absolute;left:651933;top:982133;height:226695;width:494030;" filled="f" stroked="f" coordsize="21600,21600" o:gfxdata="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m/D2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0CC7FEB3">
                        <w:pPr>
                          <w:spacing w:line="0" w:lineRule="atLeast"/>
                          <w:jc w:val="center"/>
                          <w:rPr>
                            <w:spacing w:val="-10"/>
                            <w:szCs w:val="21"/>
                          </w:rPr>
                        </w:pPr>
                        <w:r>
                          <w:rPr>
                            <w:rFonts w:hint="eastAsia"/>
                            <w:spacing w:val="-10"/>
                            <w:szCs w:val="21"/>
                          </w:rPr>
                          <w:t>球团矿</w:t>
                        </w:r>
                      </w:p>
                    </w:txbxContent>
                  </v:textbox>
                </v:shape>
                <v:shape id="任意多边形 37414" o:spid="_x0000_s1026" o:spt="100" style="position:absolute;left:2836333;top:1769533;flip:x;height:172300;width:417195;" filled="f" stroked="t" coordsize="788,341" o:gfxdata="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FoLxwwAAAOIAAAAPAAAAAAAAAAEAIAAAACIAAABkcnMvZG93bnJldi54bWxQSwECFAAUAAAACACH&#10;TuJAMy8FnjsAAAA5AAAAEAAAAAAAAAABACAAAAASAQAAZHJzL3NoYXBleG1sLnhtbFBLBQYAAAAA&#10;BgAGAFsBAAC8AwAAAAA=&#10;" path="m788,0l788,341,0,341e">
                  <v:path o:connectlocs="220877751,0;220877751,87059501;0,87059501" o:connectangles="0,0,0"/>
                  <v:fill on="f" focussize="0,0"/>
                  <v:stroke weight="0.5pt" color="#000000" joinstyle="round" endarrow="classic" endarrowwidth="narrow" endarrowlength="short"/>
                  <v:imagedata o:title=""/>
                  <o:lock v:ext="edit" aspectratio="f"/>
                </v:shape>
                <v:shape id="文本框 37415" o:spid="_x0000_s1026" o:spt="202" type="#_x0000_t202" style="position:absolute;left:2743200;top:1761067;height:226728;width:688340;" filled="f" stroked="f" coordsize="21600,21600" o:gfxdata="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Okr0s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D035961">
                        <w:pPr>
                          <w:spacing w:line="0" w:lineRule="atLeast"/>
                          <w:jc w:val="center"/>
                          <w:rPr>
                            <w:spacing w:val="-10"/>
                            <w:sz w:val="23"/>
                            <w:szCs w:val="23"/>
                          </w:rPr>
                        </w:pPr>
                        <w:r>
                          <w:rPr>
                            <w:rFonts w:hint="eastAsia"/>
                            <w:spacing w:val="-10"/>
                            <w:sz w:val="23"/>
                            <w:szCs w:val="23"/>
                          </w:rPr>
                          <w:t>高炉渣</w:t>
                        </w:r>
                      </w:p>
                    </w:txbxContent>
                  </v:textbox>
                </v:shape>
                <v:shape id="文本框 37420" o:spid="_x0000_s1026" o:spt="202" type="#_x0000_t202" style="position:absolute;left:787400;top:1549400;height:226728;width:688340;" filled="f" stroked="f" coordsize="21600,21600" o:gfxdata="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skS1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7997749F">
                        <w:pPr>
                          <w:spacing w:line="0" w:lineRule="atLeast"/>
                          <w:jc w:val="center"/>
                          <w:rPr>
                            <w:spacing w:val="-10"/>
                            <w:sz w:val="23"/>
                            <w:szCs w:val="23"/>
                          </w:rPr>
                        </w:pPr>
                        <w:r>
                          <w:rPr>
                            <w:rFonts w:hint="eastAsia"/>
                            <w:spacing w:val="-10"/>
                            <w:sz w:val="23"/>
                            <w:szCs w:val="23"/>
                          </w:rPr>
                          <w:t>块矿</w:t>
                        </w:r>
                      </w:p>
                    </w:txbxContent>
                  </v:textbox>
                </v:shape>
                <v:line id="直线 37375" o:spid="_x0000_s1026" o:spt="20" style="position:absolute;left:3611033;top:491067;height:206375;width:635;" filled="f" stroked="t" coordsize="21600,21600" o:gfxdata="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EgtHDFAAAA4wAAAA8AAAAAAAAAAQAgAAAAIgAAAGRycy9kb3ducmV2LnhtbFBLAQIUABQAAAAI&#10;AIdO4kAzLwWeOwAAADkAAAAQAAAAAAAAAAEAIAAAABQBAABkcnMvc2hhcGV4bWwueG1sUEsFBgAA&#10;AAAGAAYAWwEAAL4DAAAAAA==&#10;">
                  <v:fill on="f" focussize="0,0"/>
                  <v:stroke weight="0.5pt" color="#000000" joinstyle="round" endarrow="classic" endarrowwidth="narrow" endarrowlength="short"/>
                  <v:imagedata o:title=""/>
                  <o:lock v:ext="edit" aspectratio="f"/>
                </v:line>
                <v:line id="直线 37421" o:spid="_x0000_s1026" o:spt="20" style="position:absolute;left:1286933;top:1657350;height:0;width:453390;" filled="f" stroked="t" coordsize="21600,21600" o:gfxdata="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VL&#10;qgrCAAAA4wAAAA8AAAAAAAAAAQAgAAAAIgAAAGRycy9kb3ducmV2LnhtbFBLAQIUABQAAAAIAIdO&#10;4kAzLwWeOwAAADkAAAAQAAAAAAAAAAEAIAAAABEBAABkcnMvc2hhcGV4bWwueG1sUEsFBgAAAAAG&#10;AAYAWwEAALsDAAAAAA==&#10;">
                  <v:fill on="f" focussize="0,0"/>
                  <v:stroke weight="0.5pt" color="#000000" joinstyle="round" endarrow="classic" endarrowwidth="narrow" endarrowlength="short"/>
                  <v:imagedata o:title=""/>
                  <o:lock v:ext="edit" aspectratio="f"/>
                </v:line>
                <v:line id="直线 37294" o:spid="_x0000_s1026" o:spt="20" style="position:absolute;left:4404783;top:802217;flip:x;height:0;width:351155;" filled="f" stroked="t" coordsize="21600,21600" o:gfxdata="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HnIx&#10;wAAAAOM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line>
                <v:shape id="文本框 37420" o:spid="_x0000_s1026" o:spt="202" type="#_x0000_t202" style="position:absolute;left:4648200;top:694267;height:226695;width:688340;" filled="f" stroked="f" coordsize="21600,21600" o:gfxdata="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T1&#10;oHX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66EA22E">
                        <w:pPr>
                          <w:spacing w:line="0" w:lineRule="atLeast"/>
                          <w:jc w:val="center"/>
                          <w:rPr>
                            <w:spacing w:val="-10"/>
                          </w:rPr>
                        </w:pPr>
                        <w:r>
                          <w:rPr>
                            <w:rFonts w:hint="eastAsia"/>
                            <w:spacing w:val="-10"/>
                          </w:rPr>
                          <w:t>白云石</w:t>
                        </w:r>
                      </w:p>
                    </w:txbxContent>
                  </v:textbox>
                </v:shape>
                <v:shape id="文本框 37276" o:spid="_x0000_s1026" o:spt="202" type="#_x0000_t202" style="position:absolute;left:3623733;top:16933;height:226060;width:688340;" filled="f" stroked="f" coordsize="21600,21600" o:gfxdata="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Zaxx7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06498C1B">
                        <w:pPr>
                          <w:spacing w:line="0" w:lineRule="atLeast"/>
                          <w:jc w:val="center"/>
                          <w:rPr>
                            <w:spacing w:val="-10"/>
                            <w:sz w:val="23"/>
                            <w:szCs w:val="23"/>
                          </w:rPr>
                        </w:pPr>
                        <w:r>
                          <w:rPr>
                            <w:rFonts w:hint="eastAsia"/>
                            <w:spacing w:val="-10"/>
                            <w:sz w:val="23"/>
                            <w:szCs w:val="23"/>
                          </w:rPr>
                          <w:t>生石灰</w:t>
                        </w:r>
                      </w:p>
                    </w:txbxContent>
                  </v:textbox>
                </v:shape>
                <v:line id="直线 37274" o:spid="_x0000_s1026" o:spt="20" style="position:absolute;left:3975100;top:194733;height:287655;width:0;" filled="f" stroked="t" coordsize="21600,21600" o:gfxdata="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XlTEfFAAAA4gAAAA8AAAAAAAAAAQAgAAAAIgAAAGRycy9kb3ducmV2LnhtbFBLAQIUABQAAAAI&#10;AIdO4kAzLwWeOwAAADkAAAAQAAAAAAAAAAEAIAAAABQBAABkcnMvc2hhcGV4bWwueG1sUEsFBgAA&#10;AAAGAAYAWwEAAL4DAAAAAA==&#10;">
                  <v:fill on="f" focussize="0,0"/>
                  <v:stroke weight="0.5pt" color="#000000" joinstyle="round" endarrow="classic" endarrowwidth="narrow" endarrowlength="short"/>
                  <v:imagedata o:title=""/>
                  <o:lock v:ext="edit" aspectratio="f"/>
                </v:line>
                <v:shape id="文本框 37258" o:spid="_x0000_s1026" o:spt="202" type="#_x0000_t202" style="position:absolute;left:1981200;top:2971800;height:226728;width:432435;" filled="f" stroked="f" coordsize="21600,21600" o:gfxdata="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ckP8v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024E0CEB">
                        <w:pPr>
                          <w:spacing w:line="0" w:lineRule="atLeast"/>
                          <w:jc w:val="center"/>
                          <w:rPr>
                            <w:spacing w:val="-10"/>
                            <w:szCs w:val="21"/>
                          </w:rPr>
                        </w:pPr>
                        <w:r>
                          <w:rPr>
                            <w:rFonts w:hint="eastAsia"/>
                            <w:spacing w:val="-10"/>
                            <w:szCs w:val="21"/>
                          </w:rPr>
                          <w:t>钢水</w:t>
                        </w:r>
                      </w:p>
                    </w:txbxContent>
                  </v:textbox>
                </v:shape>
                <v:shape id="文本框 41760" o:spid="_x0000_s1026" o:spt="202" type="#_x0000_t202" style="position:absolute;left:1921933;top:3225800;height:226098;width:935355;" filled="f" stroked="t" coordsize="21600,21600" o:gfxdata="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b&#10;WMY6wwAAAOMAAAAPAAAAAAAAAAEAIAAAACIAAABkcnMvZG93bnJldi54bWxQSwECFAAUAAAACACH&#10;TuJAMy8FnjsAAAA5AAAAEAAAAAAAAAABACAAAAASAQAAZHJzL3NoYXBleG1sLnhtbFBLBQYAAAAA&#10;BgAGAFsBAAC8AwAAAAA=&#10;">
                  <v:fill on="f" focussize="0,0"/>
                  <v:stroke weight="0.5pt" color="#000000" miterlimit="8" joinstyle="miter" endarrowwidth="narrow" endarrowlength="short"/>
                  <v:imagedata o:title=""/>
                  <o:lock v:ext="edit" aspectratio="f"/>
                  <v:textbox inset="0mm,0mm,0mm,0mm">
                    <w:txbxContent>
                      <w:p w14:paraId="658070BE">
                        <w:pPr>
                          <w:spacing w:line="0" w:lineRule="atLeast"/>
                          <w:jc w:val="center"/>
                          <w:rPr>
                            <w:b/>
                            <w:bCs/>
                            <w:spacing w:val="-10"/>
                            <w:sz w:val="23"/>
                            <w:szCs w:val="23"/>
                          </w:rPr>
                        </w:pPr>
                        <w:r>
                          <w:rPr>
                            <w:rFonts w:hint="eastAsia"/>
                            <w:b/>
                            <w:bCs/>
                            <w:spacing w:val="-10"/>
                            <w:sz w:val="23"/>
                            <w:szCs w:val="23"/>
                          </w:rPr>
                          <w:t>精炼炉</w:t>
                        </w:r>
                      </w:p>
                    </w:txbxContent>
                  </v:textbox>
                </v:shape>
                <v:shape id="文本框 41760" o:spid="_x0000_s1026" o:spt="202" type="#_x0000_t202" style="position:absolute;left:1930400;top:3632200;height:185040;width:929006;" filled="f" stroked="t" coordsize="21600,21600" o:gfxdata="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ik&#10;1cEAAADjAAAADwAAAAAAAAABACAAAAAiAAAAZHJzL2Rvd25yZXYueG1sUEsBAhQAFAAAAAgAh07i&#10;QDMvBZ47AAAAOQAAABAAAAAAAAAAAQAgAAAAEAEAAGRycy9zaGFwZXhtbC54bWxQSwUGAAAAAAYA&#10;BgBbAQAAugMAAAAA&#10;">
                  <v:fill on="f" focussize="0,0"/>
                  <v:stroke weight="0.5pt" color="#000000" miterlimit="8" joinstyle="miter" endarrowwidth="narrow" endarrowlength="short"/>
                  <v:imagedata o:title=""/>
                  <o:lock v:ext="edit" aspectratio="f"/>
                  <v:textbox inset="0mm,0mm,0mm,0mm">
                    <w:txbxContent>
                      <w:p w14:paraId="4E326FFF">
                        <w:pPr>
                          <w:spacing w:line="0" w:lineRule="atLeast"/>
                          <w:jc w:val="center"/>
                          <w:rPr>
                            <w:b/>
                            <w:bCs/>
                            <w:spacing w:val="-10"/>
                            <w:sz w:val="23"/>
                            <w:szCs w:val="23"/>
                          </w:rPr>
                        </w:pPr>
                        <w:r>
                          <w:rPr>
                            <w:rFonts w:hint="eastAsia"/>
                            <w:b/>
                            <w:bCs/>
                            <w:spacing w:val="-10"/>
                            <w:sz w:val="23"/>
                            <w:szCs w:val="23"/>
                          </w:rPr>
                          <w:t>连铸机</w:t>
                        </w:r>
                      </w:p>
                    </w:txbxContent>
                  </v:textbox>
                </v:shape>
                <v:line id="直线 41759" o:spid="_x0000_s1026" o:spt="20" style="position:absolute;left:2374900;top:3835400;flip:x;height:285641;width:0;" filled="f" stroked="t" coordsize="21600,21600" o:gfxdata="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EShcQAAADj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shape id="文本框 37420" o:spid="_x0000_s1026" o:spt="202" type="#_x0000_t202" style="position:absolute;left:2328333;top:2429933;height:226728;width:634365;" filled="f" stroked="f" coordsize="21600,21600" o:gfxdata="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a&#10;qlz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6EE2A67">
                        <w:pPr>
                          <w:spacing w:line="0" w:lineRule="atLeast"/>
                          <w:jc w:val="center"/>
                          <w:rPr>
                            <w:spacing w:val="-10"/>
                            <w:szCs w:val="21"/>
                          </w:rPr>
                        </w:pPr>
                        <w:r>
                          <w:rPr>
                            <w:rFonts w:hint="eastAsia"/>
                            <w:spacing w:val="-10"/>
                            <w:szCs w:val="21"/>
                          </w:rPr>
                          <w:t>脱硫铁水</w:t>
                        </w:r>
                      </w:p>
                    </w:txbxContent>
                  </v:textbox>
                </v:shape>
                <v:shape id="文本框 37258" o:spid="_x0000_s1026" o:spt="202" type="#_x0000_t202" style="position:absolute;left:1955800;top:3911600;height:188310;width:406400;" filled="f" stroked="f" coordsize="21600,21600" o:gfxdata="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54rVL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24DE6BC7">
                        <w:pPr>
                          <w:spacing w:line="0" w:lineRule="atLeast"/>
                          <w:jc w:val="center"/>
                          <w:rPr>
                            <w:spacing w:val="-10"/>
                            <w:szCs w:val="21"/>
                          </w:rPr>
                        </w:pPr>
                        <w:r>
                          <w:rPr>
                            <w:rFonts w:hint="eastAsia"/>
                            <w:spacing w:val="-10"/>
                            <w:szCs w:val="21"/>
                          </w:rPr>
                          <w:t>钢坯</w:t>
                        </w:r>
                      </w:p>
                    </w:txbxContent>
                  </v:textbox>
                </v:shape>
                <v:line id="直线 37283" o:spid="_x0000_s1026" o:spt="20" style="position:absolute;left:2374900;top:2946400;flip:x;height:262627;width:635;" filled="f" stroked="t" coordsize="21600,21600" o:gfxdata="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16&#10;jp7CAAAA4gAAAA8AAAAAAAAAAQAgAAAAIgAAAGRycy9kb3ducmV2LnhtbFBLAQIUABQAAAAIAIdO&#10;4kAzLwWeOwAAADkAAAAQAAAAAAAAAAEAIAAAABEBAABkcnMvc2hhcGV4bWwueG1sUEsFBgAAAAAG&#10;AAYAWwEAALsDAAAAAA==&#10;">
                  <v:fill on="f" focussize="0,0"/>
                  <v:stroke weight="0.5pt" color="#000000" joinstyle="round" endarrow="classic" endarrowwidth="narrow" endarrowlength="short"/>
                  <v:imagedata o:title=""/>
                  <o:lock v:ext="edit" aspectratio="f"/>
                </v:line>
                <v:shape id="文本框 37282" o:spid="_x0000_s1026" o:spt="202" type="#_x0000_t202" style="position:absolute;left:1727200;top:2717800;height:226833;width:1332230;" filled="f" stroked="t" coordsize="21600,21600" o:gfxdata="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NlVW&#10;wAAAAOIAAAAPAAAAAAAAAAEAIAAAACIAAABkcnMvZG93bnJldi54bWxQSwECFAAUAAAACACHTuJA&#10;My8FnjsAAAA5AAAAEAAAAAAAAAABACAAAAAPAQAAZHJzL3NoYXBleG1sLnhtbFBLBQYAAAAABgAG&#10;AFsBAAC5AwAAAAA=&#10;">
                  <v:fill on="f" focussize="0,0"/>
                  <v:stroke weight="0.5pt" color="#000000" miterlimit="8" joinstyle="miter" endarrowwidth="narrow" endarrowlength="short"/>
                  <v:imagedata o:title=""/>
                  <o:lock v:ext="edit" aspectratio="f"/>
                  <v:textbox inset="0mm,0mm,0mm,0mm">
                    <w:txbxContent>
                      <w:p w14:paraId="79619A4B">
                        <w:pPr>
                          <w:spacing w:line="0" w:lineRule="atLeast"/>
                          <w:jc w:val="center"/>
                          <w:rPr>
                            <w:b/>
                            <w:bCs/>
                            <w:spacing w:val="-10"/>
                            <w:sz w:val="23"/>
                            <w:szCs w:val="23"/>
                          </w:rPr>
                        </w:pPr>
                        <w:r>
                          <w:rPr>
                            <w:rFonts w:hint="eastAsia"/>
                            <w:b/>
                            <w:bCs/>
                            <w:spacing w:val="-10"/>
                            <w:sz w:val="23"/>
                            <w:szCs w:val="23"/>
                          </w:rPr>
                          <w:t>转炉/电炉</w:t>
                        </w:r>
                      </w:p>
                    </w:txbxContent>
                  </v:textbox>
                </v:shape>
                <v:line id="直线 37283" o:spid="_x0000_s1026" o:spt="20" style="position:absolute;left:2374900;top:2336800;flip:x;height:371582;width:635;" filled="f" stroked="t" coordsize="21600,21600" o:gfxdata="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d9pcwwAAAOIAAAAPAAAAAAAAAAEAIAAAACIAAABkcnMvZG93bnJldi54bWxQSwECFAAUAAAACACH&#10;TuJAMy8FnjsAAAA5AAAAEAAAAAAAAAABACAAAAASAQAAZHJzL3NoYXBleG1sLnhtbFBLBQYAAAAA&#10;BgAGAFsBAAC8AwAAAAA=&#10;">
                  <v:fill on="f" focussize="0,0"/>
                  <v:stroke weight="0.5pt" color="#000000" joinstyle="round" endarrow="classic" endarrowwidth="narrow" endarrowlength="short"/>
                  <v:imagedata o:title=""/>
                  <o:lock v:ext="edit" aspectratio="f"/>
                </v:line>
                <v:shape id="文本框 37282" o:spid="_x0000_s1026" o:spt="202" type="#_x0000_t202" style="position:absolute;left:1998133;top:2099733;height:226728;width:876935;" filled="f" stroked="t" coordsize="21600,21600" o:gfxdata="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3QbB&#10;wAAAAOMAAAAPAAAAAAAAAAEAIAAAACIAAABkcnMvZG93bnJldi54bWxQSwECFAAUAAAACACHTuJA&#10;My8FnjsAAAA5AAAAEAAAAAAAAAABACAAAAAPAQAAZHJzL3NoYXBleG1sLnhtbFBLBQYAAAAABgAG&#10;AFsBAAC5AwAAAAA=&#10;">
                  <v:fill on="f" focussize="0,0"/>
                  <v:stroke weight="0.5pt" color="#000000" miterlimit="8" joinstyle="miter" endarrowwidth="narrow" endarrowlength="short"/>
                  <v:imagedata o:title=""/>
                  <o:lock v:ext="edit" aspectratio="f"/>
                  <v:textbox inset="0mm,0mm,0mm,0mm">
                    <w:txbxContent>
                      <w:p w14:paraId="412C5FB9">
                        <w:pPr>
                          <w:spacing w:line="0" w:lineRule="atLeast"/>
                          <w:jc w:val="center"/>
                          <w:rPr>
                            <w:b/>
                            <w:bCs/>
                            <w:spacing w:val="-10"/>
                            <w:sz w:val="23"/>
                            <w:szCs w:val="23"/>
                          </w:rPr>
                        </w:pPr>
                        <w:r>
                          <w:rPr>
                            <w:rFonts w:hint="eastAsia"/>
                            <w:b/>
                            <w:bCs/>
                            <w:spacing w:val="-10"/>
                            <w:sz w:val="23"/>
                            <w:szCs w:val="23"/>
                          </w:rPr>
                          <w:t>铁水预处理</w:t>
                        </w:r>
                      </w:p>
                    </w:txbxContent>
                  </v:textbox>
                </v:shape>
                <v:line id="直线 37421" o:spid="_x0000_s1026" o:spt="20" style="position:absolute;left:1676400;top:2224617;height:0;width:310515;" filled="f" stroked="t" coordsize="21600,21600" o:gfxdata="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ni&#10;z8HCAAAA4wAAAA8AAAAAAAAAAQAgAAAAIgAAAGRycy9kb3ducmV2LnhtbFBLAQIUABQAAAAIAIdO&#10;4kAzLwWeOwAAADkAAAAQAAAAAAAAAAEAIAAAABEBAABkcnMvc2hhcGV4bWwueG1sUEsFBgAAAAAG&#10;AAYAWwEAALsDAAAAAA==&#10;">
                  <v:fill on="f" focussize="0,0"/>
                  <v:stroke weight="0.5pt" color="#000000" joinstyle="round" endarrow="classic" endarrowwidth="narrow" endarrowlength="short"/>
                  <v:imagedata o:title=""/>
                  <o:lock v:ext="edit" aspectratio="f"/>
                </v:line>
                <v:shape id="文本框 37420" o:spid="_x0000_s1026" o:spt="202" type="#_x0000_t202" style="position:absolute;left:1168400;top:2142067;height:226728;width:544830;" filled="f" stroked="f" coordsize="21600,21600" o:gfxdata="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9VO&#10;d8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ED9541C">
                        <w:pPr>
                          <w:spacing w:line="0" w:lineRule="atLeast"/>
                          <w:jc w:val="center"/>
                          <w:rPr>
                            <w:spacing w:val="-10"/>
                            <w:sz w:val="23"/>
                            <w:szCs w:val="23"/>
                          </w:rPr>
                        </w:pPr>
                        <w:r>
                          <w:rPr>
                            <w:rFonts w:hint="eastAsia"/>
                            <w:spacing w:val="-10"/>
                            <w:sz w:val="23"/>
                            <w:szCs w:val="23"/>
                          </w:rPr>
                          <w:t>脱硫剂</w:t>
                        </w:r>
                      </w:p>
                    </w:txbxContent>
                  </v:textbox>
                </v:shape>
                <v:line id="直线 37283" o:spid="_x0000_s1026" o:spt="20" style="position:absolute;left:2366433;top:3445933;height:173195;width:635;" filled="f" stroked="t" coordsize="21600,21600" o:gfxdata="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AFzMwwAAAOIAAAAPAAAAAAAAAAEAIAAAACIAAABkcnMvZG93bnJldi54bWxQSwECFAAUAAAACACH&#10;TuJAMy8FnjsAAAA5AAAAEAAAAAAAAAABACAAAAASAQAAZHJzL3NoYXBleG1sLnhtbFBLBQYAAAAA&#10;BgAGAFsBAAC8AwAAAAA=&#10;">
                  <v:fill on="f" focussize="0,0"/>
                  <v:stroke weight="0.5pt" color="#000000" joinstyle="round" endarrow="classic" endarrowwidth="narrow" endarrowlength="short"/>
                  <v:imagedata o:title=""/>
                  <o:lock v:ext="edit" aspectratio="f"/>
                </v:line>
                <v:group id="组合 8615" o:spid="_x0000_s1026" o:spt="203" style="position:absolute;left:2861733;top:2980267;height:195238;width:454025;" coordorigin="12559,11955" coordsize="715,360" o:gfxdata="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26Ce/xQAAAOMAAAAPAAAAAAAAAAEAIAAAACIAAABkcnMvZG93&#10;bnJldi54bWxQSwECFAAUAAAACACHTuJAMy8FnjsAAAA5AAAAFQAAAAAAAAABACAAAAAUAQAAZHJz&#10;L2dyb3Vwc2hhcGV4bWwueG1sUEsFBgAAAAAGAAYAYAEAANEDAAAAAA==&#10;">
                  <o:lock v:ext="edit" aspectratio="f"/>
                  <v:line id="直线 37395" o:spid="_x0000_s1026" o:spt="20" style="position:absolute;left:12559;top:11955;flip:x;height:360;width:0;" filled="f" stroked="t" coordsize="21600,21600" o:gfxdata="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Gd&#10;3cEAAADiAAAADwAAAAAAAAABACAAAAAiAAAAZHJzL2Rvd25yZXYueG1sUEsBAhQAFAAAAAgAh07i&#10;QDMvBZ47AAAAOQAAABAAAAAAAAAAAQAgAAAAEAEAAGRycy9zaGFwZXhtbC54bWxQSwUGAAAAAAYA&#10;BgBbAQAAugMAAAAA&#10;">
                    <v:fill on="f" focussize="0,0"/>
                    <v:stroke weight="0.5pt" color="#000000" joinstyle="round" startarrowwidth="narrow" startarrowlength="short" endarrowwidth="narrow" endarrowlength="short"/>
                    <v:imagedata o:title=""/>
                    <o:lock v:ext="edit" aspectratio="f"/>
                  </v:line>
                  <v:line id="直线 37421" o:spid="_x0000_s1026" o:spt="20" style="position:absolute;left:12560;top:12313;height:0;width:714;" filled="f" stroked="t" coordsize="21600,21600" o:gfxdata="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Lh&#10;qiDCAAAA4wAAAA8AAAAAAAAAAQAgAAAAIgAAAGRycy9kb3ducmV2LnhtbFBLAQIUABQAAAAIAIdO&#10;4kAzLwWeOwAAADkAAAAQAAAAAAAAAAEAIAAAABEBAABkcnMvc2hhcGV4bWwueG1sUEsFBgAAAAAG&#10;AAYAWwEAALsDAAAAAA==&#10;">
                    <v:fill on="f" focussize="0,0"/>
                    <v:stroke weight="0.5pt" color="#000000" joinstyle="round" endarrow="classic" endarrowwidth="narrow" endarrowlength="short"/>
                    <v:imagedata o:title=""/>
                    <o:lock v:ext="edit" aspectratio="f"/>
                  </v:line>
                </v:group>
                <v:shape id="文本框 37420" o:spid="_x0000_s1026" o:spt="202" type="#_x0000_t202" style="position:absolute;left:2853267;top:2997200;height:226728;width:512445;" filled="f" stroked="f" coordsize="21600,21600" o:gfxdata="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Op&#10;6IT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4AD73A9">
                        <w:pPr>
                          <w:spacing w:line="0" w:lineRule="atLeast"/>
                          <w:jc w:val="center"/>
                          <w:rPr>
                            <w:spacing w:val="-10"/>
                            <w:sz w:val="23"/>
                            <w:szCs w:val="23"/>
                          </w:rPr>
                        </w:pPr>
                        <w:r>
                          <w:rPr>
                            <w:rFonts w:hint="eastAsia"/>
                            <w:spacing w:val="-10"/>
                            <w:sz w:val="23"/>
                            <w:szCs w:val="23"/>
                          </w:rPr>
                          <w:t>钢渣</w:t>
                        </w:r>
                      </w:p>
                    </w:txbxContent>
                  </v:textbox>
                </v:shape>
                <v:line id="直线 37421" o:spid="_x0000_s1026" o:spt="20" style="position:absolute;left:1422400;top:2825750;height:0;width:310515;" filled="f" stroked="t" coordsize="21600,21600" o:gfxdata="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EeKfFAAAA4gAAAA8AAAAAAAAAAQAgAAAAIgAAAGRycy9kb3ducmV2LnhtbFBLAQIUABQAAAAI&#10;AIdO4kAzLwWeOwAAADkAAAAQAAAAAAAAAAEAIAAAABQBAABkcnMvc2hhcGV4bWwueG1sUEsFBgAA&#10;AAAGAAYAWwEAAL4DAAAAAA==&#10;">
                  <v:fill on="f" focussize="0,0"/>
                  <v:stroke weight="0.5pt" color="#000000" joinstyle="round" endarrow="classic" endarrowwidth="narrow" endarrowlength="short"/>
                  <v:imagedata o:title=""/>
                  <o:lock v:ext="edit" aspectratio="f"/>
                </v:line>
                <v:shape id="文本框 37420" o:spid="_x0000_s1026" o:spt="202" type="#_x0000_t202" style="position:absolute;left:914400;top:2734733;height:226728;width:512445;" filled="f" stroked="f" coordsize="21600,21600" o:gfxdata="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mi&#10;l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90F7C56">
                        <w:pPr>
                          <w:spacing w:line="0" w:lineRule="atLeast"/>
                          <w:jc w:val="center"/>
                          <w:rPr>
                            <w:spacing w:val="-10"/>
                            <w:sz w:val="23"/>
                            <w:szCs w:val="23"/>
                          </w:rPr>
                        </w:pPr>
                        <w:r>
                          <w:rPr>
                            <w:rFonts w:hint="eastAsia"/>
                            <w:spacing w:val="-10"/>
                            <w:sz w:val="23"/>
                            <w:szCs w:val="23"/>
                          </w:rPr>
                          <w:t>铁合金</w:t>
                        </w:r>
                      </w:p>
                    </w:txbxContent>
                  </v:textbox>
                </v:shape>
                <v:shape id="文本框 37420" o:spid="_x0000_s1026" o:spt="202" type="#_x0000_t202" style="position:absolute;left:931333;top:2429933;height:226728;width:688340;" filled="f" stroked="f" coordsize="21600,21600" o:gfxdata="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C1&#10;cI3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F09239F">
                        <w:pPr>
                          <w:spacing w:line="0" w:lineRule="atLeast"/>
                          <w:jc w:val="center"/>
                          <w:rPr>
                            <w:spacing w:val="-10"/>
                            <w:sz w:val="23"/>
                            <w:szCs w:val="23"/>
                          </w:rPr>
                        </w:pPr>
                        <w:r>
                          <w:rPr>
                            <w:rFonts w:hint="eastAsia"/>
                            <w:spacing w:val="-10"/>
                            <w:sz w:val="23"/>
                            <w:szCs w:val="23"/>
                          </w:rPr>
                          <w:t>废钢</w:t>
                        </w:r>
                      </w:p>
                    </w:txbxContent>
                  </v:textbox>
                </v:shape>
                <v:group id="组合 8622" o:spid="_x0000_s1026" o:spt="203" style="position:absolute;left:1447800;top:2497667;height:223579;width:466090;" coordorigin="4091,5479" coordsize="885,452" o:gfxdata="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jRBGDBAAAA4wAAAA8AAAAAAAAAAQAgAAAAIgAAAGRycy9kb3ducmV2&#10;LnhtbFBLAQIUABQAAAAIAIdO4kAzLwWeOwAAADkAAAAVAAAAAAAAAAEAIAAAABABAABkcnMvZ3Jv&#10;dXBzaGFwZXhtbC54bWxQSwUGAAAAAAYABgBgAQAAzQMAAAAA&#10;">
                  <o:lock v:ext="edit" aspectratio="f"/>
                  <v:line id="直线 37283" o:spid="_x0000_s1026" o:spt="20" style="position:absolute;left:4967;top:5482;height:449;width:0;" filled="f" stroked="t" coordsize="21600,21600" o:gfxdata="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wFt2cQAAADi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line id="直线 37384" o:spid="_x0000_s1026" o:spt="20" style="position:absolute;left:4091;top:5479;flip:x;height:0;width:885;" filled="f" stroked="t" coordsize="21600,21600" o:gfxdata="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BseY8QAAADiAAAADwAAAAAAAAABACAAAAAiAAAAZHJzL2Rvd25yZXYueG1sUEsBAhQAFAAAAAgA&#10;h07iQDMvBZ47AAAAOQAAABAAAAAAAAAAAQAgAAAAEwEAAGRycy9zaGFwZXhtbC54bWxQSwUGAAAA&#10;AAYABgBbAQAAvQMAAAAA&#10;">
                    <v:fill on="f" focussize="0,0"/>
                    <v:stroke weight="0.5pt" color="#000000" joinstyle="round" startarrowwidth="narrow" startarrowlength="short" endarrowwidth="narrow" endarrowlength="short"/>
                    <v:imagedata o:title=""/>
                    <o:lock v:ext="edit" aspectratio="f"/>
                  </v:line>
                </v:group>
                <v:line id="直线 37384" o:spid="_x0000_s1026" o:spt="20" style="position:absolute;left:3067050;top:2834217;flip:x y;height:0;width:699770;" filled="f" stroked="t" coordsize="21600,21600" o:gfxdata="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9E+vMQAAADi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shape id="文本框 37251" o:spid="_x0000_s1026" o:spt="202" type="#_x0000_t202" style="position:absolute;left:3166533;top:2658533;height:192089;width:464820;" filled="f" stroked="f" coordsize="21600,21600" o:gfxdata="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IAVj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54F9EBB8">
                        <w:pPr>
                          <w:spacing w:line="0" w:lineRule="atLeast"/>
                          <w:jc w:val="center"/>
                          <w:rPr>
                            <w:spacing w:val="-10"/>
                            <w:szCs w:val="21"/>
                          </w:rPr>
                        </w:pPr>
                        <w:r>
                          <w:rPr>
                            <w:rFonts w:hint="eastAsia"/>
                            <w:spacing w:val="-10"/>
                            <w:szCs w:val="21"/>
                          </w:rPr>
                          <w:t>生石灰</w:t>
                        </w:r>
                      </w:p>
                    </w:txbxContent>
                  </v:textbox>
                </v:shape>
                <v:shape id="文本框 37383" o:spid="_x0000_s1026" o:spt="202" type="#_x0000_t202" style="position:absolute;left:1761067;top:5105400;height:226098;width:1201420;" filled="f" stroked="f" coordsize="21600,21600" o:gfxdata="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ikHQ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5AC26F74">
                        <w:pPr>
                          <w:spacing w:line="0" w:lineRule="atLeast"/>
                          <w:jc w:val="center"/>
                          <w:rPr>
                            <w:b/>
                            <w:spacing w:val="-10"/>
                            <w:sz w:val="23"/>
                            <w:szCs w:val="23"/>
                          </w:rPr>
                        </w:pPr>
                        <w:r>
                          <w:rPr>
                            <w:rFonts w:hint="eastAsia"/>
                            <w:b/>
                            <w:spacing w:val="-10"/>
                            <w:sz w:val="23"/>
                            <w:szCs w:val="23"/>
                          </w:rPr>
                          <w:t>外售</w:t>
                        </w:r>
                      </w:p>
                    </w:txbxContent>
                  </v:textbox>
                </v:shape>
                <v:group id="组合 8622" o:spid="_x0000_s1026" o:spt="203" style="position:absolute;left:3009900;top:2480733;flip:x;height:223579;width:359410;" coordorigin="3609,5447" coordsize="885,452" o:gfxdata="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UjRuIwgAAAOIAAAAPAAAAAAAAAAEAIAAAACIAAABkcnMvZG93bnJl&#10;di54bWxQSwECFAAUAAAACACHTuJAMy8FnjsAAAA5AAAAFQAAAAAAAAABACAAAAARAQAAZHJzL2dy&#10;b3Vwc2hhcGV4bWwueG1sUEsFBgAAAAAGAAYAYAEAAM4DAAAAAA==&#10;">
                  <o:lock v:ext="edit" aspectratio="f"/>
                  <v:line id="直线 37283" o:spid="_x0000_s1026" o:spt="20" style="position:absolute;left:4485;top:5450;height:449;width:0;" filled="f" stroked="t" coordsize="21600,21600" o:gfxdata="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7u8WcQAAADh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line id="直线 37384" o:spid="_x0000_s1026" o:spt="20" style="position:absolute;left:3609;top:5447;flip:x;height:0;width:885;" filled="f" stroked="t" coordsize="21600,21600" o:gfxdata="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cbFRrFAAAA4wAAAA8AAAAAAAAAAQAgAAAAIgAAAGRycy9kb3ducmV2LnhtbFBLAQIUABQAAAAI&#10;AIdO4kAzLwWeOwAAADkAAAAQAAAAAAAAAAEAIAAAABQBAABkcnMvc2hhcGV4bWwueG1sUEsFBgAA&#10;AAAGAAYAWwEAAL4DAAAAAA==&#10;">
                    <v:fill on="f" focussize="0,0"/>
                    <v:stroke weight="0.5pt" color="#000000" joinstyle="round" startarrowwidth="narrow" startarrowlength="short" endarrowwidth="narrow" endarrowlength="short"/>
                    <v:imagedata o:title=""/>
                    <o:lock v:ext="edit" aspectratio="f"/>
                  </v:line>
                </v:group>
                <v:shape id="文本框 37420" o:spid="_x0000_s1026" o:spt="202" type="#_x0000_t202" style="position:absolute;left:3395133;top:2387600;height:226728;width:688340;" filled="f" stroked="f" coordsize="21600,21600" o:gfxdata="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lUi&#10;os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1FE16D9">
                        <w:pPr>
                          <w:spacing w:line="0" w:lineRule="atLeast"/>
                          <w:jc w:val="center"/>
                          <w:rPr>
                            <w:spacing w:val="-10"/>
                            <w:sz w:val="23"/>
                            <w:szCs w:val="23"/>
                          </w:rPr>
                        </w:pPr>
                        <w:r>
                          <w:rPr>
                            <w:rFonts w:hint="eastAsia"/>
                            <w:spacing w:val="-10"/>
                            <w:sz w:val="23"/>
                            <w:szCs w:val="23"/>
                          </w:rPr>
                          <w:t>轻烧白云石</w:t>
                        </w:r>
                      </w:p>
                    </w:txbxContent>
                  </v:textbox>
                </v:shape>
                <v:shape id="文本框 37420" o:spid="_x0000_s1026" o:spt="202" type="#_x0000_t202" style="position:absolute;left:1041400;top:3234267;height:226728;width:512445;" filled="f" stroked="f" coordsize="21600,21600" o:gfxdata="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PweB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7A5F93AB">
                        <w:pPr>
                          <w:spacing w:line="0" w:lineRule="atLeast"/>
                          <w:jc w:val="center"/>
                          <w:rPr>
                            <w:spacing w:val="-10"/>
                            <w:sz w:val="23"/>
                            <w:szCs w:val="23"/>
                          </w:rPr>
                        </w:pPr>
                        <w:r>
                          <w:rPr>
                            <w:rFonts w:hint="eastAsia"/>
                            <w:spacing w:val="-10"/>
                            <w:sz w:val="23"/>
                            <w:szCs w:val="23"/>
                          </w:rPr>
                          <w:t>铁合金</w:t>
                        </w:r>
                      </w:p>
                    </w:txbxContent>
                  </v:textbox>
                </v:shape>
                <v:line id="直线 37421" o:spid="_x0000_s1026" o:spt="20" style="position:absolute;left:1574800;top:3316817;height:0;width:310515;" filled="f" stroked="t" coordsize="21600,21600" o:gfxdata="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HEqksQAAADi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shape id="文本框 37420" o:spid="_x0000_s1026" o:spt="202" type="#_x0000_t202" style="position:absolute;left:3149600;top:2125133;height:226728;width:512445;" filled="f" stroked="f" coordsize="21600,21600" o:gfxdata="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O&#10;ZCiH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447F6467">
                        <w:pPr>
                          <w:spacing w:line="0" w:lineRule="atLeast"/>
                          <w:jc w:val="center"/>
                          <w:rPr>
                            <w:spacing w:val="-10"/>
                            <w:sz w:val="23"/>
                            <w:szCs w:val="23"/>
                          </w:rPr>
                        </w:pPr>
                        <w:r>
                          <w:rPr>
                            <w:rFonts w:hint="eastAsia"/>
                            <w:spacing w:val="-10"/>
                            <w:sz w:val="23"/>
                            <w:szCs w:val="23"/>
                          </w:rPr>
                          <w:t>脱硫渣</w:t>
                        </w:r>
                      </w:p>
                    </w:txbxContent>
                  </v:textbox>
                </v:shape>
                <v:line id="直线 37421" o:spid="_x0000_s1026" o:spt="20" style="position:absolute;left:2861733;top:2207683;height:0;width:310515;" filled="f" stroked="t" coordsize="21600,21600" o:gfxdata="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YSUX&#10;wAAAAOM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line>
                <v:shape id="文本框 41760" o:spid="_x0000_s1026" o:spt="202" type="#_x0000_t202" style="position:absolute;left:1921933;top:4131733;height:221845;width:929006;" filled="f" stroked="t" coordsize="21600,21600" o:gfxdata="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75RC/&#10;AAAA4gAAAA8AAAAAAAAAAQAgAAAAIgAAAGRycy9kb3ducmV2LnhtbFBLAQIUABQAAAAIAIdO4kAz&#10;LwWeOwAAADkAAAAQAAAAAAAAAAEAIAAAAA4BAABkcnMvc2hhcGV4bWwueG1sUEsFBgAAAAAGAAYA&#10;WwEAALgDAAAAAA==&#10;">
                  <v:fill on="f" focussize="0,0"/>
                  <v:stroke weight="0.5pt" color="#000000" miterlimit="8" joinstyle="miter" endarrowwidth="narrow" endarrowlength="short"/>
                  <v:imagedata o:title=""/>
                  <o:lock v:ext="edit" aspectratio="f"/>
                  <v:textbox inset="0mm,0mm,0mm,0mm">
                    <w:txbxContent>
                      <w:p w14:paraId="546A8828">
                        <w:pPr>
                          <w:spacing w:line="0" w:lineRule="atLeast"/>
                          <w:jc w:val="center"/>
                          <w:rPr>
                            <w:b/>
                            <w:bCs/>
                            <w:spacing w:val="-10"/>
                            <w:sz w:val="23"/>
                            <w:szCs w:val="23"/>
                          </w:rPr>
                        </w:pPr>
                        <w:r>
                          <w:rPr>
                            <w:rFonts w:hint="eastAsia"/>
                            <w:b/>
                            <w:bCs/>
                            <w:spacing w:val="-10"/>
                            <w:sz w:val="23"/>
                            <w:szCs w:val="23"/>
                          </w:rPr>
                          <w:t>热轧机组</w:t>
                        </w:r>
                      </w:p>
                    </w:txbxContent>
                  </v:textbox>
                </v:shape>
                <v:shape id="文本框 41760" o:spid="_x0000_s1026" o:spt="202" type="#_x0000_t202" style="position:absolute;left:3767667;top:2734733;height:213400;width:678180;" filled="f" stroked="t" coordsize="21600,21600" o:gfxdata="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3xiqrFAAAA4wAAAA8AAAAAAAAAAQAgAAAAIgAAAGRycy9kb3ducmV2LnhtbFBLAQIUABQAAAAI&#10;AIdO4kAzLwWeOwAAADkAAAAQAAAAAAAAAAEAIAAAABQBAABkcnMvc2hhcGV4bWwueG1sUEsFBgAA&#10;AAAGAAYAWwEAAL4DAAAAAA==&#10;">
                  <v:fill on="f" focussize="0,0"/>
                  <v:stroke weight="0.5pt" color="#000000" miterlimit="8" joinstyle="miter" endarrowwidth="narrow" endarrowlength="short"/>
                  <v:imagedata o:title=""/>
                  <o:lock v:ext="edit" aspectratio="f"/>
                  <v:textbox inset="0mm,0mm,0mm,0mm">
                    <w:txbxContent>
                      <w:p w14:paraId="07D601DA">
                        <w:pPr>
                          <w:spacing w:line="0" w:lineRule="atLeast"/>
                          <w:jc w:val="center"/>
                          <w:rPr>
                            <w:b/>
                            <w:bCs/>
                            <w:spacing w:val="-10"/>
                            <w:sz w:val="23"/>
                            <w:szCs w:val="23"/>
                          </w:rPr>
                        </w:pPr>
                        <w:r>
                          <w:rPr>
                            <w:rFonts w:hint="eastAsia"/>
                            <w:b/>
                            <w:bCs/>
                            <w:spacing w:val="-10"/>
                            <w:sz w:val="23"/>
                            <w:szCs w:val="23"/>
                          </w:rPr>
                          <w:t>白灰窑</w:t>
                        </w:r>
                      </w:p>
                    </w:txbxContent>
                  </v:textbox>
                </v:shape>
                <v:shape id="文本框 37251" o:spid="_x0000_s1026" o:spt="202" type="#_x0000_t202" style="position:absolute;left:4817533;top:2751667;height:192089;width:464820;" filled="f" stroked="f" coordsize="21600,21600" o:gfxdata="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O9&#10;+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E8A27D7">
                        <w:pPr>
                          <w:spacing w:line="0" w:lineRule="atLeast"/>
                          <w:jc w:val="center"/>
                          <w:rPr>
                            <w:spacing w:val="-10"/>
                          </w:rPr>
                        </w:pPr>
                        <w:r>
                          <w:rPr>
                            <w:rFonts w:hint="eastAsia"/>
                            <w:spacing w:val="-10"/>
                          </w:rPr>
                          <w:t>石灰石</w:t>
                        </w:r>
                      </w:p>
                    </w:txbxContent>
                  </v:textbox>
                </v:shape>
                <v:line id="直线 37294" o:spid="_x0000_s1026" o:spt="20" style="position:absolute;left:4455583;top:2825750;flip:x;height:0;width:351155;" filled="f" stroked="t" coordsize="21600,21600" o:gfxdata="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FOAyMQAAADj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shape id="文本框 41760" o:spid="_x0000_s1026" o:spt="202" type="#_x0000_t202" style="position:absolute;left:3327400;top:3090333;height:369970;width:752687;" filled="f" stroked="t" coordsize="21600,21600" o:gfxdata="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YW4OwwAAAOIAAAAPAAAAAAAAAAEAIAAAACIAAABkcnMvZG93bnJldi54bWxQSwECFAAUAAAACACH&#10;TuJAMy8FnjsAAAA5AAAAEAAAAAAAAAABACAAAAASAQAAZHJzL3NoYXBleG1sLnhtbFBLBQYAAAAA&#10;BgAGAFsBAAC8AwAAAAA=&#10;">
                  <v:fill on="f" focussize="0,0"/>
                  <v:stroke weight="0.5pt" color="#000000" miterlimit="8" joinstyle="miter" endarrowwidth="narrow" endarrowlength="short"/>
                  <v:imagedata o:title=""/>
                  <o:lock v:ext="edit" aspectratio="f"/>
                  <v:textbox inset="0mm,0mm,0mm,0mm">
                    <w:txbxContent>
                      <w:p w14:paraId="4CAF448D">
                        <w:pPr>
                          <w:spacing w:line="0" w:lineRule="atLeast"/>
                          <w:jc w:val="center"/>
                          <w:rPr>
                            <w:b/>
                            <w:bCs/>
                            <w:spacing w:val="-10"/>
                            <w:sz w:val="23"/>
                            <w:szCs w:val="23"/>
                          </w:rPr>
                        </w:pPr>
                        <w:r>
                          <w:rPr>
                            <w:rFonts w:hint="eastAsia"/>
                            <w:b/>
                            <w:bCs/>
                            <w:spacing w:val="-10"/>
                            <w:sz w:val="23"/>
                            <w:szCs w:val="23"/>
                          </w:rPr>
                          <w:t>钢渣一次/二次处理</w:t>
                        </w:r>
                      </w:p>
                    </w:txbxContent>
                  </v:textbox>
                </v:shape>
                <v:shape id="文本框 41760" o:spid="_x0000_s1026" o:spt="202" type="#_x0000_t202" style="position:absolute;left:3344333;top:1710267;height:369970;width:752687;" filled="f" stroked="t" coordsize="21600,21600" o:gfxdata="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3L2&#10;z8EAAADjAAAADwAAAAAAAAABACAAAAAiAAAAZHJzL2Rvd25yZXYueG1sUEsBAhQAFAAAAAgAh07i&#10;QDMvBZ47AAAAOQAAABAAAAAAAAAAAQAgAAAAEAEAAGRycy9zaGFwZXhtbC54bWxQSwUGAAAAAAYA&#10;BgBbAQAAugMAAAAA&#10;">
                  <v:fill on="f" focussize="0,0"/>
                  <v:stroke weight="0.5pt" color="#000000" miterlimit="8" joinstyle="miter" endarrowwidth="narrow" endarrowlength="short"/>
                  <v:imagedata o:title=""/>
                  <o:lock v:ext="edit" aspectratio="f"/>
                  <v:textbox inset="0mm,0mm,0mm,0mm">
                    <w:txbxContent>
                      <w:p w14:paraId="3D72C642">
                        <w:pPr>
                          <w:spacing w:line="0" w:lineRule="atLeast"/>
                          <w:jc w:val="center"/>
                          <w:rPr>
                            <w:b/>
                            <w:bCs/>
                            <w:spacing w:val="-10"/>
                            <w:sz w:val="23"/>
                            <w:szCs w:val="23"/>
                          </w:rPr>
                        </w:pPr>
                        <w:r>
                          <w:rPr>
                            <w:rFonts w:hint="eastAsia"/>
                            <w:b/>
                            <w:bCs/>
                            <w:spacing w:val="-10"/>
                            <w:sz w:val="23"/>
                            <w:szCs w:val="23"/>
                          </w:rPr>
                          <w:t>矿渣微粉生产线</w:t>
                        </w:r>
                      </w:p>
                    </w:txbxContent>
                  </v:textbox>
                </v:shape>
                <v:line id="直线 37421" o:spid="_x0000_s1026" o:spt="20" style="position:absolute;left:4106333;top:1902883;height:0;width:310515;" filled="f" stroked="t" coordsize="21600,21600" o:gfxdata="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j8T93FAAAA4gAAAA8AAAAAAAAAAQAgAAAAIgAAAGRycy9kb3ducmV2LnhtbFBLAQIUABQAAAAI&#10;AIdO4kAzLwWeOwAAADkAAAAQAAAAAAAAAAEAIAAAABQBAABkcnMvc2hhcGV4bWwueG1sUEsFBgAA&#10;AAAGAAYAWwEAAL4DAAAAAA==&#10;">
                  <v:fill on="f" focussize="0,0"/>
                  <v:stroke weight="0.5pt" color="#000000" joinstyle="round" endarrow="classic" endarrowwidth="narrow" endarrowlength="short"/>
                  <v:imagedata o:title=""/>
                  <o:lock v:ext="edit" aspectratio="f"/>
                </v:line>
                <v:shape id="文本框 37251" o:spid="_x0000_s1026" o:spt="202" type="#_x0000_t202" style="position:absolute;left:4394200;top:1820333;height:192089;width:697442;" filled="f" stroked="f" coordsize="21600,21600" o:gfxdata="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LOBk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575BC7E0">
                        <w:pPr>
                          <w:spacing w:line="0" w:lineRule="atLeast"/>
                          <w:jc w:val="center"/>
                          <w:rPr>
                            <w:spacing w:val="-10"/>
                          </w:rPr>
                        </w:pPr>
                        <w:r>
                          <w:rPr>
                            <w:rFonts w:hint="eastAsia"/>
                            <w:spacing w:val="-10"/>
                          </w:rPr>
                          <w:t>矿渣微粉</w:t>
                        </w:r>
                      </w:p>
                    </w:txbxContent>
                  </v:textbox>
                </v:shape>
                <v:line id="直线 41759" o:spid="_x0000_s1026" o:spt="20" style="position:absolute;left:2391833;top:4351867;flip:x;height:285641;width:0;" filled="f" stroked="t" coordsize="21600,21600" o:gfxdata="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C&#10;rFG2wwAAAOIAAAAPAAAAAAAAAAEAIAAAACIAAABkcnMvZG93bnJldi54bWxQSwECFAAUAAAACACH&#10;TuJAMy8FnjsAAAA5AAAAEAAAAAAAAAABACAAAAASAQAAZHJzL3NoYXBleG1sLnhtbFBLBQYAAAAA&#10;BgAGAFsBAAC8AwAAAAA=&#10;">
                  <v:fill on="f" focussize="0,0"/>
                  <v:stroke weight="0.5pt" color="#000000" joinstyle="round" endarrow="classic" endarrowwidth="narrow" endarrowlength="short"/>
                  <v:imagedata o:title=""/>
                  <o:lock v:ext="edit" aspectratio="f"/>
                </v:line>
                <v:shape id="文本框 37258" o:spid="_x0000_s1026" o:spt="202" type="#_x0000_t202" style="position:absolute;left:1803400;top:4648200;height:176723;width:1143000;" filled="f" stroked="f" coordsize="21600,21600" o:gfxdata="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we&#10;Rg7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0919D12">
                        <w:pPr>
                          <w:spacing w:line="0" w:lineRule="atLeast"/>
                          <w:jc w:val="center"/>
                          <w:rPr>
                            <w:spacing w:val="-10"/>
                          </w:rPr>
                        </w:pPr>
                        <w:r>
                          <w:rPr>
                            <w:rFonts w:hint="eastAsia"/>
                            <w:spacing w:val="-10"/>
                          </w:rPr>
                          <w:t>棒材</w:t>
                        </w:r>
                        <w:r>
                          <w:rPr>
                            <w:spacing w:val="-10"/>
                          </w:rPr>
                          <w:t>/线材/板材</w:t>
                        </w:r>
                      </w:p>
                    </w:txbxContent>
                  </v:textbox>
                </v:shape>
                <v:line id="直线 41759" o:spid="_x0000_s1026" o:spt="20" style="position:absolute;left:2391833;top:4809067;flip:x;height:285641;width:0;" filled="f" stroked="t" coordsize="21600,21600" o:gfxdata="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bRBW&#10;wAAAAOM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line>
                <v:line id="直线 37421" o:spid="_x0000_s1026" o:spt="20" style="position:absolute;left:2895600;top:4730750;height:0;width:310515;" filled="f" stroked="t" coordsize="21600,21600" o:gfxdata="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EvZ2MQAAADi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shape id="文本框 41760" o:spid="_x0000_s1026" o:spt="202" type="#_x0000_t202" style="position:absolute;left:3234267;top:4639733;height:197932;width:741892;" filled="f" stroked="t" coordsize="21600,21600" o:gfxdata="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gB&#10;wAAAAOMAAAAPAAAAAAAAAAEAIAAAACIAAABkcnMvZG93bnJldi54bWxQSwECFAAUAAAACACHTuJA&#10;My8FnjsAAAA5AAAAEAAAAAAAAAABACAAAAAPAQAAZHJzL3NoYXBleG1sLnhtbFBLBQYAAAAABgAG&#10;AFsBAAC5AwAAAAA=&#10;">
                  <v:fill on="f" focussize="0,0"/>
                  <v:stroke weight="0.5pt" color="#000000" miterlimit="8" joinstyle="miter" endarrowwidth="narrow" endarrowlength="short"/>
                  <v:imagedata o:title=""/>
                  <o:lock v:ext="edit" aspectratio="f"/>
                  <v:textbox inset="0mm,0mm,0mm,0mm">
                    <w:txbxContent>
                      <w:p w14:paraId="3D164CD2">
                        <w:pPr>
                          <w:spacing w:line="0" w:lineRule="atLeast"/>
                          <w:jc w:val="center"/>
                          <w:rPr>
                            <w:b/>
                            <w:bCs/>
                            <w:spacing w:val="-10"/>
                            <w:sz w:val="23"/>
                            <w:szCs w:val="23"/>
                          </w:rPr>
                        </w:pPr>
                        <w:r>
                          <w:rPr>
                            <w:rFonts w:hint="eastAsia"/>
                            <w:b/>
                            <w:bCs/>
                            <w:spacing w:val="-10"/>
                            <w:sz w:val="23"/>
                            <w:szCs w:val="23"/>
                          </w:rPr>
                          <w:t>冷轧机组</w:t>
                        </w:r>
                      </w:p>
                    </w:txbxContent>
                  </v:textbox>
                </v:shape>
                <v:line id="直线 37421" o:spid="_x0000_s1026" o:spt="20" style="position:absolute;left:3987800;top:4722283;height:0;width:310515;" filled="f" stroked="t" coordsize="21600,21600" o:gfxdata="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3a&#10;RcEAAADjAAAADwAAAAAAAAABACAAAAAiAAAAZHJzL2Rvd25yZXYueG1sUEsBAhQAFAAAAAgAh07i&#10;QDMvBZ47AAAAOQAAABAAAAAAAAAAAQAgAAAAEAEAAGRycy9zaGFwZXhtbC54bWxQSwUGAAAAAAYA&#10;BgBbAQAAugMAAAAA&#10;">
                  <v:fill on="f" focussize="0,0"/>
                  <v:stroke weight="0.5pt" color="#000000" joinstyle="round" endarrow="classic" endarrowwidth="narrow" endarrowlength="short"/>
                  <v:imagedata o:title=""/>
                  <o:lock v:ext="edit" aspectratio="f"/>
                </v:line>
                <v:shape id="文本框 37258" o:spid="_x0000_s1026" o:spt="202" type="#_x0000_t202" style="position:absolute;left:4174067;top:4614333;height:197366;width:770467;" filled="f" stroked="f" coordsize="21600,21600" o:gfxdata="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C&#10;JLI6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6D64EB03">
                        <w:pPr>
                          <w:spacing w:line="0" w:lineRule="atLeast"/>
                          <w:jc w:val="center"/>
                          <w:rPr>
                            <w:spacing w:val="-10"/>
                          </w:rPr>
                        </w:pPr>
                        <w:r>
                          <w:rPr>
                            <w:rFonts w:hint="eastAsia"/>
                            <w:spacing w:val="-10"/>
                          </w:rPr>
                          <w:t>冷轧材</w:t>
                        </w:r>
                      </w:p>
                    </w:txbxContent>
                  </v:textbox>
                </v:shape>
                <v:line id="直线 41759" o:spid="_x0000_s1026" o:spt="20" style="position:absolute;left:4559300;top:4809067;flip:x;height:285641;width:0;" filled="f" stroked="t" coordsize="21600,21600" o:gfxdata="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P&#10;S73CAAAA4wAAAA8AAAAAAAAAAQAgAAAAIgAAAGRycy9kb3ducmV2LnhtbFBLAQIUABQAAAAIAIdO&#10;4kAzLwWeOwAAADkAAAAQAAAAAAAAAAEAIAAAABEBAABkcnMvc2hhcGV4bWwueG1sUEsFBgAAAAAG&#10;AAYAWwEAALsDAAAAAA==&#10;">
                  <v:fill on="f" focussize="0,0"/>
                  <v:stroke weight="0.5pt" color="#000000" joinstyle="round" endarrow="classic" endarrowwidth="narrow" endarrowlength="short"/>
                  <v:imagedata o:title=""/>
                  <o:lock v:ext="edit" aspectratio="f"/>
                </v:line>
                <v:shape id="文本框 37383" o:spid="_x0000_s1026" o:spt="202" type="#_x0000_t202" style="position:absolute;left:3979333;top:5105400;height:226098;width:1201420;" filled="f" stroked="f" coordsize="21600,21600" o:gfxdata="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4e&#10;v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26BB621">
                        <w:pPr>
                          <w:spacing w:line="0" w:lineRule="atLeast"/>
                          <w:jc w:val="center"/>
                          <w:rPr>
                            <w:b/>
                            <w:spacing w:val="-10"/>
                            <w:sz w:val="23"/>
                            <w:szCs w:val="23"/>
                          </w:rPr>
                        </w:pPr>
                        <w:r>
                          <w:rPr>
                            <w:rFonts w:hint="eastAsia"/>
                            <w:b/>
                            <w:spacing w:val="-10"/>
                            <w:sz w:val="23"/>
                            <w:szCs w:val="23"/>
                          </w:rPr>
                          <w:t>外售</w:t>
                        </w:r>
                      </w:p>
                    </w:txbxContent>
                  </v:textbox>
                </v:shape>
                <v:line id="直线 41759" o:spid="_x0000_s1026" o:spt="20" style="position:absolute;left:4745567;top:2015067;flip:x;height:285641;width:0;" filled="f" stroked="t" coordsize="21600,21600" o:gfxdata="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a3yv8QAAADjAAAADwAAAAAAAAABACAAAAAiAAAAZHJzL2Rvd25yZXYueG1sUEsBAhQAFAAAAAgA&#10;h07iQDMvBZ47AAAAOQAAABAAAAAAAAAAAQAgAAAAEwEAAGRycy9zaGFwZXhtbC54bWxQSwUGAAAA&#10;AAYABgBbAQAAvQMAAAAA&#10;">
                  <v:fill on="f" focussize="0,0"/>
                  <v:stroke weight="0.5pt" color="#000000" joinstyle="round" endarrow="classic" endarrowwidth="narrow" endarrowlength="short"/>
                  <v:imagedata o:title=""/>
                  <o:lock v:ext="edit" aspectratio="f"/>
                </v:line>
                <v:shape id="文本框 37383" o:spid="_x0000_s1026" o:spt="202" type="#_x0000_t202" style="position:absolute;left:4174067;top:2319867;height:226098;width:1201420;" filled="f" stroked="f" coordsize="21600,21600" o:gfxdata="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9u&#10;Qvf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9B5A52E">
                        <w:pPr>
                          <w:spacing w:line="0" w:lineRule="atLeast"/>
                          <w:jc w:val="center"/>
                          <w:rPr>
                            <w:b/>
                            <w:spacing w:val="-10"/>
                            <w:sz w:val="23"/>
                            <w:szCs w:val="23"/>
                          </w:rPr>
                        </w:pPr>
                        <w:r>
                          <w:rPr>
                            <w:rFonts w:hint="eastAsia"/>
                            <w:b/>
                            <w:spacing w:val="-10"/>
                            <w:sz w:val="23"/>
                            <w:szCs w:val="23"/>
                          </w:rPr>
                          <w:t>外售</w:t>
                        </w:r>
                      </w:p>
                    </w:txbxContent>
                  </v:textbox>
                </v:shape>
                <v:line id="直线 37421" o:spid="_x0000_s1026" o:spt="20" style="position:absolute;left:4097867;top:3274483;height:0;width:310515;" filled="f" stroked="t" coordsize="21600,21600" o:gfxdata="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Lr&#10;/cEAAADiAAAADwAAAAAAAAABACAAAAAiAAAAZHJzL2Rvd25yZXYueG1sUEsBAhQAFAAAAAgAh07i&#10;QDMvBZ47AAAAOQAAABAAAAAAAAAAAQAgAAAAEAEAAGRycy9zaGFwZXhtbC54bWxQSwUGAAAAAAYA&#10;BgBbAQAAugMAAAAA&#10;">
                  <v:fill on="f" focussize="0,0"/>
                  <v:stroke weight="0.5pt" color="#000000" joinstyle="round" endarrow="classic" endarrowwidth="narrow" endarrowlength="short"/>
                  <v:imagedata o:title=""/>
                  <o:lock v:ext="edit" aspectratio="f"/>
                </v:line>
                <v:shape id="文本框 37258" o:spid="_x0000_s1026" o:spt="202" type="#_x0000_t202" style="position:absolute;left:4326467;top:3208867;height:197366;width:770467;" filled="f" stroked="f" coordsize="21600,21600" o:gfxdata="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fkS7T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4440C183">
                        <w:pPr>
                          <w:spacing w:line="0" w:lineRule="atLeast"/>
                          <w:jc w:val="center"/>
                          <w:rPr>
                            <w:spacing w:val="-10"/>
                          </w:rPr>
                        </w:pPr>
                        <w:r>
                          <w:rPr>
                            <w:rFonts w:hint="eastAsia"/>
                            <w:spacing w:val="-10"/>
                          </w:rPr>
                          <w:t>钢渣微粉</w:t>
                        </w:r>
                      </w:p>
                    </w:txbxContent>
                  </v:textbox>
                </v:shape>
                <v:line id="直线 41759" o:spid="_x0000_s1026" o:spt="20" style="position:absolute;left:4703233;top:3403600;flip:x;height:285641;width:0;" filled="f" stroked="t" coordsize="21600,21600" o:gfxdata="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s7&#10;wAAAAOM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line>
                <v:shape id="文本框 37383" o:spid="_x0000_s1026" o:spt="202" type="#_x0000_t202" style="position:absolute;left:4131733;top:3708400;height:226098;width:1201420;" filled="f" stroked="f" coordsize="21600,21600" o:gfxdata="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lYj9z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6E3F5468">
                        <w:pPr>
                          <w:spacing w:line="0" w:lineRule="atLeast"/>
                          <w:jc w:val="center"/>
                          <w:rPr>
                            <w:b/>
                            <w:spacing w:val="-10"/>
                            <w:sz w:val="23"/>
                            <w:szCs w:val="23"/>
                          </w:rPr>
                        </w:pPr>
                        <w:r>
                          <w:rPr>
                            <w:rFonts w:hint="eastAsia"/>
                            <w:b/>
                            <w:spacing w:val="-10"/>
                            <w:sz w:val="23"/>
                            <w:szCs w:val="23"/>
                          </w:rPr>
                          <w:t>外售</w:t>
                        </w:r>
                      </w:p>
                    </w:txbxContent>
                  </v:textbox>
                </v:shape>
                <w10:wrap type="none"/>
                <w10:anchorlock/>
              </v:group>
            </w:pict>
          </mc:Fallback>
        </mc:AlternateContent>
      </w:r>
    </w:p>
    <w:p w14:paraId="730D357E">
      <w:pPr>
        <w:ind w:firstLine="1968" w:firstLineChars="700"/>
        <w:rPr>
          <w:rFonts w:ascii="Times New Roman" w:hAnsi="Times New Roman" w:cs="Times New Roman"/>
          <w:b/>
          <w:sz w:val="28"/>
          <w:szCs w:val="28"/>
        </w:rPr>
      </w:pPr>
      <w:r>
        <w:rPr>
          <w:rFonts w:ascii="Times New Roman" w:hAnsi="Times New Roman" w:cs="Times New Roman"/>
          <w:b/>
          <w:sz w:val="28"/>
          <w:szCs w:val="28"/>
        </w:rPr>
        <w:t>图4-1  典型钢铁企业生产工艺流程图</w:t>
      </w:r>
    </w:p>
    <w:p w14:paraId="54A4A3F8">
      <w:pPr>
        <w:pStyle w:val="13"/>
        <w:spacing w:line="360" w:lineRule="auto"/>
        <w:ind w:firstLine="480" w:firstLineChars="200"/>
        <w:jc w:val="both"/>
        <w:rPr>
          <w:rFonts w:ascii="Times New Roman" w:hAnsi="Times New Roman"/>
        </w:rPr>
      </w:pPr>
      <w:r>
        <w:rPr>
          <w:rFonts w:ascii="Times New Roman" w:hAnsi="Times New Roman"/>
        </w:rPr>
        <w:t>钢铁企业主要污染物产排环节：</w:t>
      </w:r>
    </w:p>
    <w:p w14:paraId="6FD2D41F">
      <w:pPr>
        <w:pStyle w:val="13"/>
        <w:spacing w:line="360" w:lineRule="auto"/>
        <w:ind w:firstLine="480" w:firstLineChars="200"/>
        <w:jc w:val="both"/>
        <w:rPr>
          <w:rFonts w:ascii="Times New Roman" w:hAnsi="Times New Roman"/>
        </w:rPr>
      </w:pPr>
      <w:r>
        <w:rPr>
          <w:rFonts w:hint="eastAsia" w:hAnsi="宋体" w:cs="宋体"/>
        </w:rPr>
        <w:t>①</w:t>
      </w:r>
      <w:r>
        <w:rPr>
          <w:rFonts w:ascii="Times New Roman" w:hAnsi="Times New Roman"/>
        </w:rPr>
        <w:t>颗粒物（PM）：主要来自烧结机配料、整粒筛分和烧结，球团配料和焙烧，高炉矿槽、出铁场、热风炉、煤粉制备，转炉、电炉、铁水预处理，精炼、连铸切割、火焰清理、钢渣处理，石灰窑、白云石窑等，轧钢热处理炉、精轧机、拉矫、精整、修磨、焊接等有组织排放。原料系统的供卸料设施、烧结、球团、炼铁、炼钢、轧钢等工序的无组织排放。</w:t>
      </w:r>
    </w:p>
    <w:p w14:paraId="55FD3D37">
      <w:pPr>
        <w:pStyle w:val="13"/>
        <w:spacing w:line="360" w:lineRule="auto"/>
        <w:ind w:firstLine="480" w:firstLineChars="200"/>
        <w:jc w:val="both"/>
        <w:rPr>
          <w:rFonts w:ascii="Times New Roman" w:hAnsi="Times New Roman"/>
        </w:rPr>
      </w:pPr>
      <w:r>
        <w:rPr>
          <w:rFonts w:hint="eastAsia" w:hAnsi="宋体" w:cs="宋体"/>
        </w:rPr>
        <w:t>②</w:t>
      </w:r>
      <w:r>
        <w:rPr>
          <w:rFonts w:ascii="Times New Roman" w:hAnsi="Times New Roman"/>
        </w:rPr>
        <w:t>SO</w:t>
      </w:r>
      <w:r>
        <w:rPr>
          <w:rFonts w:ascii="Times New Roman" w:hAnsi="Times New Roman"/>
          <w:vertAlign w:val="subscript"/>
        </w:rPr>
        <w:t>2</w:t>
      </w:r>
      <w:r>
        <w:rPr>
          <w:rFonts w:ascii="Times New Roman" w:hAnsi="Times New Roman"/>
        </w:rPr>
        <w:t>：主要来自烧结、球团焙烧、高炉热风炉、轧钢热处理炉及自备电厂等燃煤、燃气公共单元的有组织排放。</w:t>
      </w:r>
    </w:p>
    <w:p w14:paraId="1332A4A6">
      <w:pPr>
        <w:pStyle w:val="13"/>
        <w:spacing w:line="360" w:lineRule="auto"/>
        <w:ind w:firstLine="480" w:firstLineChars="200"/>
        <w:jc w:val="both"/>
        <w:rPr>
          <w:rFonts w:ascii="Times New Roman" w:hAnsi="Times New Roman"/>
        </w:rPr>
      </w:pPr>
      <w:r>
        <w:rPr>
          <w:rFonts w:hint="eastAsia" w:hAnsi="宋体" w:cs="宋体"/>
        </w:rPr>
        <w:t>③</w:t>
      </w:r>
      <w:r>
        <w:rPr>
          <w:rFonts w:ascii="Times New Roman" w:hAnsi="Times New Roman"/>
        </w:rPr>
        <w:t>NOx：主要来自焦化、烧结机头、球团焙烧、高炉热风炉、轧钢热处理炉及自备电厂等燃煤、燃气公共单元的有组织排放。</w:t>
      </w:r>
    </w:p>
    <w:p w14:paraId="5372A860">
      <w:pPr>
        <w:pStyle w:val="13"/>
        <w:spacing w:line="360" w:lineRule="auto"/>
        <w:ind w:firstLine="480" w:firstLineChars="200"/>
        <w:jc w:val="both"/>
        <w:rPr>
          <w:rFonts w:ascii="Times New Roman" w:hAnsi="Times New Roman"/>
        </w:rPr>
      </w:pPr>
      <w:r>
        <w:rPr>
          <w:rFonts w:hint="eastAsia" w:hAnsi="宋体" w:cs="宋体"/>
        </w:rPr>
        <w:t>④</w:t>
      </w:r>
      <w:r>
        <w:rPr>
          <w:rFonts w:ascii="Times New Roman" w:hAnsi="Times New Roman"/>
        </w:rPr>
        <w:t>VOCs：主要来自轧钢彩涂、焦化工序有组织、无组织排放和轧钢的酸洗、涂镀工序有组织、无组织排放。</w:t>
      </w:r>
    </w:p>
    <w:p w14:paraId="36DAA82F">
      <w:pPr>
        <w:pStyle w:val="13"/>
        <w:spacing w:line="360" w:lineRule="auto"/>
        <w:ind w:firstLine="480" w:firstLineChars="200"/>
        <w:jc w:val="both"/>
        <w:rPr>
          <w:rFonts w:ascii="Times New Roman" w:hAnsi="Times New Roman"/>
        </w:rPr>
      </w:pPr>
      <w:r>
        <w:rPr>
          <w:rFonts w:hint="eastAsia" w:hAnsi="宋体" w:cs="宋体"/>
        </w:rPr>
        <w:t>⑤</w:t>
      </w:r>
      <w:r>
        <w:rPr>
          <w:rFonts w:ascii="Times New Roman" w:hAnsi="Times New Roman"/>
        </w:rPr>
        <w:t>二噁英：主要来自烧结机头烟气、电弧炉炼钢过程。</w:t>
      </w:r>
    </w:p>
    <w:p w14:paraId="37038ECA">
      <w:pPr>
        <w:pStyle w:val="13"/>
        <w:spacing w:line="360" w:lineRule="auto"/>
        <w:ind w:firstLine="480" w:firstLineChars="200"/>
        <w:jc w:val="both"/>
        <w:rPr>
          <w:rFonts w:ascii="Times New Roman" w:hAnsi="Times New Roman"/>
        </w:rPr>
      </w:pPr>
      <w:r>
        <w:rPr>
          <w:rFonts w:hint="eastAsia" w:hAnsi="宋体" w:cs="宋体"/>
        </w:rPr>
        <w:t>⑥</w:t>
      </w:r>
      <w:r>
        <w:rPr>
          <w:rFonts w:ascii="Times New Roman" w:hAnsi="Times New Roman"/>
        </w:rPr>
        <w:t>苯并[a]芘：主要来自焦炉炉体无组织排放。</w:t>
      </w:r>
    </w:p>
    <w:p w14:paraId="77306017">
      <w:pPr>
        <w:pStyle w:val="13"/>
        <w:spacing w:line="360" w:lineRule="auto"/>
        <w:ind w:firstLine="480" w:firstLineChars="200"/>
        <w:jc w:val="both"/>
        <w:rPr>
          <w:rFonts w:ascii="Times New Roman" w:hAnsi="Times New Roman"/>
        </w:rPr>
      </w:pPr>
      <w:r>
        <w:rPr>
          <w:rFonts w:hint="eastAsia" w:hAnsi="宋体" w:cs="宋体"/>
        </w:rPr>
        <w:t>⑦</w:t>
      </w:r>
      <w:r>
        <w:rPr>
          <w:rFonts w:ascii="Times New Roman" w:hAnsi="Times New Roman"/>
        </w:rPr>
        <w:t>氟化物：主要来自烧结机头烟气。</w:t>
      </w:r>
    </w:p>
    <w:p w14:paraId="755A7963">
      <w:pPr>
        <w:pStyle w:val="13"/>
        <w:spacing w:line="360" w:lineRule="auto"/>
        <w:ind w:firstLine="480" w:firstLineChars="200"/>
        <w:jc w:val="both"/>
        <w:rPr>
          <w:rFonts w:ascii="Times New Roman" w:hAnsi="Times New Roman"/>
        </w:rPr>
      </w:pPr>
      <w:r>
        <w:rPr>
          <w:rFonts w:hint="eastAsia" w:hAnsi="宋体" w:cs="宋体"/>
        </w:rPr>
        <w:t>⑧</w:t>
      </w:r>
      <w:r>
        <w:rPr>
          <w:rFonts w:ascii="Times New Roman" w:hAnsi="Times New Roman"/>
        </w:rPr>
        <w:t>酸雾、碱雾、油雾：主要来自轧钢工序有组织排放。</w:t>
      </w:r>
    </w:p>
    <w:p w14:paraId="39F7FA79">
      <w:pPr>
        <w:pStyle w:val="13"/>
        <w:spacing w:line="360" w:lineRule="auto"/>
        <w:ind w:firstLine="480" w:firstLineChars="200"/>
        <w:rPr>
          <w:rFonts w:ascii="Times New Roman" w:hAnsi="Times New Roman"/>
        </w:rPr>
      </w:pPr>
      <w:r>
        <w:rPr>
          <w:rFonts w:ascii="Times New Roman" w:hAnsi="Times New Roman"/>
        </w:rPr>
        <w:t>钢铁企业各工序具体排污节点及治理可行技术见表4-1</w:t>
      </w:r>
      <w:r>
        <w:rPr>
          <w:rFonts w:hint="eastAsia" w:ascii="Times New Roman" w:hAnsi="Times New Roman"/>
        </w:rPr>
        <w:t>2</w:t>
      </w:r>
      <w:r>
        <w:rPr>
          <w:rFonts w:ascii="Times New Roman" w:hAnsi="Times New Roman"/>
        </w:rPr>
        <w:t>。</w:t>
      </w:r>
    </w:p>
    <w:p w14:paraId="3B4A7586">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表4-1</w:t>
      </w:r>
      <w:r>
        <w:rPr>
          <w:rFonts w:hint="eastAsia" w:ascii="Times New Roman" w:hAnsi="Times New Roman" w:cs="Times New Roman"/>
          <w:b/>
          <w:bCs/>
          <w:color w:val="000000"/>
          <w:szCs w:val="32"/>
        </w:rPr>
        <w:t>2</w:t>
      </w:r>
      <w:r>
        <w:rPr>
          <w:rFonts w:ascii="Times New Roman" w:hAnsi="Times New Roman" w:cs="Times New Roman"/>
          <w:b/>
          <w:bCs/>
          <w:color w:val="000000"/>
          <w:szCs w:val="32"/>
        </w:rPr>
        <w:t xml:space="preserve">  钢铁企业各工序具体排污节点及治理可行技术一览表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540"/>
        <w:gridCol w:w="426"/>
        <w:gridCol w:w="1109"/>
        <w:gridCol w:w="1482"/>
        <w:gridCol w:w="1421"/>
        <w:gridCol w:w="1761"/>
      </w:tblGrid>
      <w:tr w14:paraId="58FD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6" w:type="dxa"/>
            <w:shd w:val="clear" w:color="auto" w:fill="auto"/>
            <w:vAlign w:val="center"/>
          </w:tcPr>
          <w:p w14:paraId="2EB377C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工序</w:t>
            </w:r>
          </w:p>
        </w:tc>
        <w:tc>
          <w:tcPr>
            <w:tcW w:w="1580" w:type="dxa"/>
            <w:shd w:val="clear" w:color="auto" w:fill="auto"/>
            <w:vAlign w:val="center"/>
          </w:tcPr>
          <w:p w14:paraId="22EDE58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生产设施</w:t>
            </w:r>
          </w:p>
        </w:tc>
        <w:tc>
          <w:tcPr>
            <w:tcW w:w="3080" w:type="dxa"/>
            <w:gridSpan w:val="3"/>
            <w:shd w:val="clear" w:color="auto" w:fill="auto"/>
            <w:vAlign w:val="center"/>
          </w:tcPr>
          <w:p w14:paraId="7688C2C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排污节点</w:t>
            </w:r>
          </w:p>
        </w:tc>
        <w:tc>
          <w:tcPr>
            <w:tcW w:w="1456" w:type="dxa"/>
            <w:shd w:val="clear" w:color="auto" w:fill="auto"/>
            <w:vAlign w:val="center"/>
          </w:tcPr>
          <w:p w14:paraId="5930C38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1808" w:type="dxa"/>
            <w:shd w:val="clear" w:color="auto" w:fill="auto"/>
            <w:vAlign w:val="center"/>
          </w:tcPr>
          <w:p w14:paraId="2CF055F4">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Cs w:val="21"/>
              </w:rPr>
            </w:pPr>
            <w:r>
              <w:rPr>
                <w:rFonts w:hint="eastAsia" w:ascii="Times New Roman" w:hAnsi="Times New Roman" w:cs="Times New Roman"/>
                <w:sz w:val="18"/>
                <w:szCs w:val="18"/>
              </w:rPr>
              <w:t>治理可行技术</w:t>
            </w:r>
          </w:p>
        </w:tc>
      </w:tr>
      <w:tr w14:paraId="12DC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restart"/>
            <w:shd w:val="clear" w:color="auto" w:fill="auto"/>
            <w:vAlign w:val="center"/>
          </w:tcPr>
          <w:p w14:paraId="41BE074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原料</w:t>
            </w:r>
          </w:p>
          <w:p w14:paraId="0386D92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系统</w:t>
            </w:r>
          </w:p>
        </w:tc>
        <w:tc>
          <w:tcPr>
            <w:tcW w:w="1580" w:type="dxa"/>
            <w:vMerge w:val="restart"/>
            <w:shd w:val="clear" w:color="auto" w:fill="auto"/>
            <w:vAlign w:val="center"/>
          </w:tcPr>
          <w:p w14:paraId="651135F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供卸料设施、其他</w:t>
            </w:r>
          </w:p>
        </w:tc>
        <w:tc>
          <w:tcPr>
            <w:tcW w:w="3080" w:type="dxa"/>
            <w:gridSpan w:val="3"/>
            <w:shd w:val="clear" w:color="auto" w:fill="auto"/>
            <w:vAlign w:val="center"/>
          </w:tcPr>
          <w:p w14:paraId="1FDB1BF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原料装卸、堆取</w:t>
            </w:r>
          </w:p>
        </w:tc>
        <w:tc>
          <w:tcPr>
            <w:tcW w:w="1456" w:type="dxa"/>
            <w:shd w:val="clear" w:color="auto" w:fill="auto"/>
            <w:vAlign w:val="center"/>
          </w:tcPr>
          <w:p w14:paraId="5859727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vMerge w:val="restart"/>
            <w:shd w:val="clear" w:color="auto" w:fill="auto"/>
            <w:vAlign w:val="center"/>
          </w:tcPr>
          <w:p w14:paraId="7C1CBD67">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袋式除尘器、滤筒除尘器</w:t>
            </w:r>
          </w:p>
        </w:tc>
      </w:tr>
      <w:tr w14:paraId="4A40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5BBFB4E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3B1F087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3080" w:type="dxa"/>
            <w:gridSpan w:val="3"/>
            <w:shd w:val="clear" w:color="auto" w:fill="auto"/>
            <w:vAlign w:val="center"/>
          </w:tcPr>
          <w:p w14:paraId="3985344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原料输送、破碎、转运</w:t>
            </w:r>
          </w:p>
        </w:tc>
        <w:tc>
          <w:tcPr>
            <w:tcW w:w="1456" w:type="dxa"/>
            <w:shd w:val="clear" w:color="auto" w:fill="auto"/>
            <w:vAlign w:val="center"/>
          </w:tcPr>
          <w:p w14:paraId="58D01CAA">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vMerge w:val="continue"/>
            <w:shd w:val="clear" w:color="auto" w:fill="auto"/>
            <w:vAlign w:val="center"/>
          </w:tcPr>
          <w:p w14:paraId="59A3425B">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p>
        </w:tc>
      </w:tr>
      <w:tr w14:paraId="04D7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6" w:type="dxa"/>
            <w:vMerge w:val="restart"/>
            <w:shd w:val="clear" w:color="auto" w:fill="auto"/>
            <w:vAlign w:val="center"/>
          </w:tcPr>
          <w:p w14:paraId="2C1B02A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烧结</w:t>
            </w:r>
          </w:p>
        </w:tc>
        <w:tc>
          <w:tcPr>
            <w:tcW w:w="1580" w:type="dxa"/>
            <w:vMerge w:val="restart"/>
            <w:shd w:val="clear" w:color="auto" w:fill="auto"/>
            <w:vAlign w:val="center"/>
          </w:tcPr>
          <w:p w14:paraId="27C64BB3">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带式烧结机、步进式烧结机</w:t>
            </w:r>
          </w:p>
        </w:tc>
        <w:tc>
          <w:tcPr>
            <w:tcW w:w="426" w:type="dxa"/>
            <w:vMerge w:val="restart"/>
            <w:shd w:val="clear" w:color="auto" w:fill="auto"/>
            <w:vAlign w:val="center"/>
          </w:tcPr>
          <w:p w14:paraId="185B55B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烧结球团</w:t>
            </w:r>
          </w:p>
        </w:tc>
        <w:tc>
          <w:tcPr>
            <w:tcW w:w="1134" w:type="dxa"/>
            <w:shd w:val="clear" w:color="auto" w:fill="auto"/>
            <w:vAlign w:val="center"/>
          </w:tcPr>
          <w:p w14:paraId="32E7AAC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原料准备</w:t>
            </w:r>
          </w:p>
        </w:tc>
        <w:tc>
          <w:tcPr>
            <w:tcW w:w="1520" w:type="dxa"/>
            <w:shd w:val="clear" w:color="auto" w:fill="auto"/>
            <w:vAlign w:val="center"/>
          </w:tcPr>
          <w:p w14:paraId="1928CAC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原料输送、破碎、干燥、煤粉制备</w:t>
            </w:r>
          </w:p>
        </w:tc>
        <w:tc>
          <w:tcPr>
            <w:tcW w:w="1456" w:type="dxa"/>
            <w:shd w:val="clear" w:color="auto" w:fill="auto"/>
            <w:vAlign w:val="center"/>
          </w:tcPr>
          <w:p w14:paraId="49BBF9F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33765F8E">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袋式除尘器、滤筒除尘器</w:t>
            </w:r>
          </w:p>
        </w:tc>
      </w:tr>
      <w:tr w14:paraId="1203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3E2356C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3FCB1D8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426" w:type="dxa"/>
            <w:vMerge w:val="continue"/>
            <w:shd w:val="clear" w:color="auto" w:fill="auto"/>
            <w:vAlign w:val="center"/>
          </w:tcPr>
          <w:p w14:paraId="7C6FC433">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134" w:type="dxa"/>
            <w:shd w:val="clear" w:color="auto" w:fill="auto"/>
            <w:vAlign w:val="center"/>
          </w:tcPr>
          <w:p w14:paraId="4A1D2C9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配料混合</w:t>
            </w:r>
          </w:p>
        </w:tc>
        <w:tc>
          <w:tcPr>
            <w:tcW w:w="1520" w:type="dxa"/>
            <w:shd w:val="clear" w:color="auto" w:fill="auto"/>
            <w:vAlign w:val="center"/>
          </w:tcPr>
          <w:p w14:paraId="37D7912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原燃料贮存、配料、混料、混合造球</w:t>
            </w:r>
          </w:p>
        </w:tc>
        <w:tc>
          <w:tcPr>
            <w:tcW w:w="1456" w:type="dxa"/>
            <w:shd w:val="clear" w:color="auto" w:fill="auto"/>
            <w:vAlign w:val="center"/>
          </w:tcPr>
          <w:p w14:paraId="3C9CFC1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43A2410C">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高效湿法除尘、湿式电除尘器</w:t>
            </w:r>
          </w:p>
        </w:tc>
      </w:tr>
      <w:tr w14:paraId="28C7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698C58F3">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748C291B">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426" w:type="dxa"/>
            <w:vMerge w:val="continue"/>
            <w:shd w:val="clear" w:color="auto" w:fill="auto"/>
            <w:vAlign w:val="center"/>
          </w:tcPr>
          <w:p w14:paraId="2E286BB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134" w:type="dxa"/>
            <w:shd w:val="clear" w:color="auto" w:fill="auto"/>
            <w:vAlign w:val="center"/>
          </w:tcPr>
          <w:p w14:paraId="58FB82F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烧结（焙烧）</w:t>
            </w:r>
          </w:p>
        </w:tc>
        <w:tc>
          <w:tcPr>
            <w:tcW w:w="1520" w:type="dxa"/>
            <w:shd w:val="clear" w:color="auto" w:fill="auto"/>
            <w:vAlign w:val="center"/>
          </w:tcPr>
          <w:p w14:paraId="260A581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烧结（球团）装备</w:t>
            </w:r>
          </w:p>
        </w:tc>
        <w:tc>
          <w:tcPr>
            <w:tcW w:w="1456" w:type="dxa"/>
            <w:shd w:val="clear" w:color="auto" w:fill="auto"/>
            <w:vAlign w:val="center"/>
          </w:tcPr>
          <w:p w14:paraId="5E9D8C9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颗粒物、SO</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、NO</w:t>
            </w:r>
            <w:r>
              <w:rPr>
                <w:rFonts w:hint="eastAsia" w:ascii="Times New Roman" w:hAnsi="Times New Roman" w:cs="Times New Roman"/>
                <w:sz w:val="18"/>
                <w:szCs w:val="18"/>
                <w:vertAlign w:val="subscript"/>
              </w:rPr>
              <w:t>X</w:t>
            </w:r>
            <w:r>
              <w:rPr>
                <w:rFonts w:hint="eastAsia" w:ascii="Times New Roman" w:hAnsi="Times New Roman" w:cs="Times New Roman"/>
                <w:sz w:val="18"/>
                <w:szCs w:val="18"/>
              </w:rPr>
              <w:t>、氟化物、二噁英</w:t>
            </w:r>
          </w:p>
        </w:tc>
        <w:tc>
          <w:tcPr>
            <w:tcW w:w="1808" w:type="dxa"/>
            <w:shd w:val="clear" w:color="auto" w:fill="auto"/>
            <w:vAlign w:val="center"/>
          </w:tcPr>
          <w:p w14:paraId="4558AA27">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除尘：四电场静电除尘、湿式电除尘、电除尘、袋式除尘、电袋复合除尘；脱硫：石灰石/石灰-石膏法、旋转喷雾干燥法、循环流化床法、活性炭（焦）法、氧化镁法、密相干塔法；脱硝：活性炭（焦）法、选择性催化还原法</w:t>
            </w:r>
          </w:p>
        </w:tc>
      </w:tr>
      <w:tr w14:paraId="4214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restart"/>
            <w:shd w:val="clear" w:color="auto" w:fill="auto"/>
            <w:vAlign w:val="center"/>
          </w:tcPr>
          <w:p w14:paraId="025E21F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球团</w:t>
            </w:r>
          </w:p>
        </w:tc>
        <w:tc>
          <w:tcPr>
            <w:tcW w:w="1580" w:type="dxa"/>
            <w:vMerge w:val="restart"/>
            <w:shd w:val="clear" w:color="auto" w:fill="auto"/>
            <w:vAlign w:val="center"/>
          </w:tcPr>
          <w:p w14:paraId="4955205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竖炉、链篦机-回转窑、带式焙烧机</w:t>
            </w:r>
          </w:p>
        </w:tc>
        <w:tc>
          <w:tcPr>
            <w:tcW w:w="426" w:type="dxa"/>
            <w:vMerge w:val="continue"/>
            <w:shd w:val="clear" w:color="auto" w:fill="auto"/>
            <w:vAlign w:val="center"/>
          </w:tcPr>
          <w:p w14:paraId="44534B6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134" w:type="dxa"/>
            <w:shd w:val="clear" w:color="auto" w:fill="auto"/>
            <w:vAlign w:val="center"/>
          </w:tcPr>
          <w:p w14:paraId="474D87C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破碎冷却</w:t>
            </w:r>
          </w:p>
        </w:tc>
        <w:tc>
          <w:tcPr>
            <w:tcW w:w="1520" w:type="dxa"/>
            <w:shd w:val="clear" w:color="auto" w:fill="auto"/>
            <w:vAlign w:val="center"/>
          </w:tcPr>
          <w:p w14:paraId="2C42778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破碎、冷却</w:t>
            </w:r>
          </w:p>
        </w:tc>
        <w:tc>
          <w:tcPr>
            <w:tcW w:w="1456" w:type="dxa"/>
            <w:shd w:val="clear" w:color="auto" w:fill="auto"/>
            <w:vAlign w:val="center"/>
          </w:tcPr>
          <w:p w14:paraId="51B7EB5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1D56EFEA">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袋式除尘、电袋复合除尘、滤筒除尘</w:t>
            </w:r>
          </w:p>
        </w:tc>
      </w:tr>
      <w:tr w14:paraId="6B18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14798CC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59D5CEC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426" w:type="dxa"/>
            <w:vMerge w:val="continue"/>
            <w:shd w:val="clear" w:color="auto" w:fill="auto"/>
            <w:vAlign w:val="center"/>
          </w:tcPr>
          <w:p w14:paraId="5B16F67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134" w:type="dxa"/>
            <w:shd w:val="clear" w:color="auto" w:fill="auto"/>
            <w:vAlign w:val="center"/>
          </w:tcPr>
          <w:p w14:paraId="57A934F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成品整粒、筛分、转运</w:t>
            </w:r>
          </w:p>
        </w:tc>
        <w:tc>
          <w:tcPr>
            <w:tcW w:w="1520" w:type="dxa"/>
            <w:shd w:val="clear" w:color="auto" w:fill="auto"/>
            <w:vAlign w:val="center"/>
          </w:tcPr>
          <w:p w14:paraId="5E92A46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破碎、转运、筛分</w:t>
            </w:r>
          </w:p>
        </w:tc>
        <w:tc>
          <w:tcPr>
            <w:tcW w:w="1456" w:type="dxa"/>
            <w:shd w:val="clear" w:color="auto" w:fill="auto"/>
            <w:vAlign w:val="center"/>
          </w:tcPr>
          <w:p w14:paraId="7F4D5E6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77B2BB37">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袋式除尘、电袋复合除尘、滤筒除尘</w:t>
            </w:r>
          </w:p>
        </w:tc>
      </w:tr>
      <w:tr w14:paraId="5F6B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restart"/>
            <w:shd w:val="clear" w:color="auto" w:fill="auto"/>
            <w:vAlign w:val="center"/>
          </w:tcPr>
          <w:p w14:paraId="4D3C997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炼铁</w:t>
            </w:r>
          </w:p>
        </w:tc>
        <w:tc>
          <w:tcPr>
            <w:tcW w:w="1580" w:type="dxa"/>
            <w:vMerge w:val="restart"/>
            <w:shd w:val="clear" w:color="auto" w:fill="auto"/>
            <w:vAlign w:val="center"/>
          </w:tcPr>
          <w:p w14:paraId="7A68F95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高炉（焦矿槽、热风炉）</w:t>
            </w:r>
          </w:p>
        </w:tc>
        <w:tc>
          <w:tcPr>
            <w:tcW w:w="1560" w:type="dxa"/>
            <w:gridSpan w:val="2"/>
            <w:shd w:val="clear" w:color="auto" w:fill="auto"/>
            <w:vAlign w:val="center"/>
          </w:tcPr>
          <w:p w14:paraId="0C57F21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上料</w:t>
            </w:r>
          </w:p>
        </w:tc>
        <w:tc>
          <w:tcPr>
            <w:tcW w:w="1520" w:type="dxa"/>
            <w:shd w:val="clear" w:color="auto" w:fill="auto"/>
            <w:vAlign w:val="center"/>
          </w:tcPr>
          <w:p w14:paraId="2D15AE5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料仓、槽上、槽下的胶带机落料点和振动筛等处</w:t>
            </w:r>
          </w:p>
        </w:tc>
        <w:tc>
          <w:tcPr>
            <w:tcW w:w="1456" w:type="dxa"/>
            <w:shd w:val="clear" w:color="auto" w:fill="auto"/>
            <w:vAlign w:val="center"/>
          </w:tcPr>
          <w:p w14:paraId="4E663B5B">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209F7F38">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0EB3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2C7BF46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3DF217D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shd w:val="clear" w:color="auto" w:fill="auto"/>
            <w:vAlign w:val="center"/>
          </w:tcPr>
          <w:p w14:paraId="08EAFBF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出铁</w:t>
            </w:r>
          </w:p>
        </w:tc>
        <w:tc>
          <w:tcPr>
            <w:tcW w:w="1520" w:type="dxa"/>
            <w:shd w:val="clear" w:color="auto" w:fill="auto"/>
            <w:vAlign w:val="center"/>
          </w:tcPr>
          <w:p w14:paraId="2270756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出铁场</w:t>
            </w:r>
          </w:p>
        </w:tc>
        <w:tc>
          <w:tcPr>
            <w:tcW w:w="1456" w:type="dxa"/>
            <w:shd w:val="clear" w:color="auto" w:fill="auto"/>
            <w:vAlign w:val="center"/>
          </w:tcPr>
          <w:p w14:paraId="23B4574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3A182649">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1309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631E6E9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5EDAA2E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shd w:val="clear" w:color="auto" w:fill="auto"/>
            <w:vAlign w:val="center"/>
          </w:tcPr>
          <w:p w14:paraId="6ADDC00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送风</w:t>
            </w:r>
          </w:p>
        </w:tc>
        <w:tc>
          <w:tcPr>
            <w:tcW w:w="1520" w:type="dxa"/>
            <w:shd w:val="clear" w:color="auto" w:fill="auto"/>
            <w:vAlign w:val="center"/>
          </w:tcPr>
          <w:p w14:paraId="336024A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热风炉燃煤气</w:t>
            </w:r>
          </w:p>
        </w:tc>
        <w:tc>
          <w:tcPr>
            <w:tcW w:w="1456" w:type="dxa"/>
            <w:shd w:val="clear" w:color="auto" w:fill="auto"/>
            <w:vAlign w:val="center"/>
          </w:tcPr>
          <w:p w14:paraId="7606910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颗粒物、SO</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、NO</w:t>
            </w:r>
            <w:r>
              <w:rPr>
                <w:rFonts w:hint="eastAsia" w:ascii="Times New Roman" w:hAnsi="Times New Roman" w:cs="Times New Roman"/>
                <w:sz w:val="18"/>
                <w:szCs w:val="18"/>
                <w:vertAlign w:val="subscript"/>
              </w:rPr>
              <w:t>X</w:t>
            </w:r>
          </w:p>
        </w:tc>
        <w:tc>
          <w:tcPr>
            <w:tcW w:w="1808" w:type="dxa"/>
            <w:shd w:val="clear" w:color="auto" w:fill="auto"/>
            <w:vAlign w:val="center"/>
          </w:tcPr>
          <w:p w14:paraId="5E1679BD">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除尘：燃用净化煤气、高炉煤气采用干法除尘；脱硫：高炉煤气精脱硫、石灰石/石灰-石膏法、氨法脱硫、旋转喷雾干燥法、循环流化床法、氧化镁法、密相干塔法、固定床法；脱硝：低氮燃烧、活性炭（焦）法、选择性催化还原法</w:t>
            </w:r>
          </w:p>
        </w:tc>
      </w:tr>
      <w:tr w14:paraId="19B9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41D0536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46969B3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shd w:val="clear" w:color="auto" w:fill="auto"/>
            <w:vAlign w:val="center"/>
          </w:tcPr>
          <w:p w14:paraId="4FAC89E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喷煤制粉</w:t>
            </w:r>
          </w:p>
        </w:tc>
        <w:tc>
          <w:tcPr>
            <w:tcW w:w="1520" w:type="dxa"/>
            <w:shd w:val="clear" w:color="auto" w:fill="auto"/>
            <w:vAlign w:val="center"/>
          </w:tcPr>
          <w:p w14:paraId="5FDF403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高炉煤粉制备</w:t>
            </w:r>
          </w:p>
        </w:tc>
        <w:tc>
          <w:tcPr>
            <w:tcW w:w="1456" w:type="dxa"/>
            <w:shd w:val="clear" w:color="auto" w:fill="auto"/>
            <w:vAlign w:val="center"/>
          </w:tcPr>
          <w:p w14:paraId="40D3661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5C5F5DFA">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1159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restart"/>
            <w:shd w:val="clear" w:color="auto" w:fill="auto"/>
            <w:vAlign w:val="center"/>
          </w:tcPr>
          <w:p w14:paraId="23BE69B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炼钢</w:t>
            </w:r>
          </w:p>
        </w:tc>
        <w:tc>
          <w:tcPr>
            <w:tcW w:w="1580" w:type="dxa"/>
            <w:vMerge w:val="restart"/>
            <w:shd w:val="clear" w:color="auto" w:fill="auto"/>
            <w:vAlign w:val="center"/>
          </w:tcPr>
          <w:p w14:paraId="7382317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转炉、电炉、精炼炉（LF/VD/AOD/RH/CAS-OB炉、其他）、白灰窑、白云石窑</w:t>
            </w:r>
          </w:p>
        </w:tc>
        <w:tc>
          <w:tcPr>
            <w:tcW w:w="1560" w:type="dxa"/>
            <w:gridSpan w:val="2"/>
            <w:shd w:val="clear" w:color="auto" w:fill="auto"/>
            <w:vAlign w:val="center"/>
          </w:tcPr>
          <w:p w14:paraId="7EC78BF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铁水预处理</w:t>
            </w:r>
          </w:p>
        </w:tc>
        <w:tc>
          <w:tcPr>
            <w:tcW w:w="1520" w:type="dxa"/>
            <w:shd w:val="clear" w:color="auto" w:fill="auto"/>
            <w:vAlign w:val="center"/>
          </w:tcPr>
          <w:p w14:paraId="049DBB1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铁水倒罐、前扒渣、后扒渣、清罐、预处理过程等</w:t>
            </w:r>
          </w:p>
        </w:tc>
        <w:tc>
          <w:tcPr>
            <w:tcW w:w="1456" w:type="dxa"/>
            <w:shd w:val="clear" w:color="auto" w:fill="auto"/>
            <w:vAlign w:val="center"/>
          </w:tcPr>
          <w:p w14:paraId="5499C943">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43D28136">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6736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0EB505F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32DF227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restart"/>
            <w:shd w:val="clear" w:color="auto" w:fill="auto"/>
            <w:vAlign w:val="center"/>
          </w:tcPr>
          <w:p w14:paraId="0D05C3B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转炉炼钢</w:t>
            </w:r>
          </w:p>
        </w:tc>
        <w:tc>
          <w:tcPr>
            <w:tcW w:w="1520" w:type="dxa"/>
            <w:shd w:val="clear" w:color="auto" w:fill="auto"/>
            <w:vAlign w:val="center"/>
          </w:tcPr>
          <w:p w14:paraId="3E00880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吹氧冶炼（一次烟气）</w:t>
            </w:r>
          </w:p>
        </w:tc>
        <w:tc>
          <w:tcPr>
            <w:tcW w:w="1456" w:type="dxa"/>
            <w:shd w:val="clear" w:color="auto" w:fill="auto"/>
            <w:vAlign w:val="center"/>
          </w:tcPr>
          <w:p w14:paraId="3E54188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7F6DC68E">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LT 干法除尘、新型 OG除尘、LT+湿电、OG+湿电、半干法</w:t>
            </w:r>
          </w:p>
        </w:tc>
      </w:tr>
      <w:tr w14:paraId="3AFF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25E9C27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6EF8512A">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51EE9E4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3C35922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兑铁水、加废钢、加辅料、出渣、出钢等（二次烟气）</w:t>
            </w:r>
          </w:p>
        </w:tc>
        <w:tc>
          <w:tcPr>
            <w:tcW w:w="1456" w:type="dxa"/>
            <w:shd w:val="clear" w:color="auto" w:fill="auto"/>
            <w:vAlign w:val="center"/>
          </w:tcPr>
          <w:p w14:paraId="1255580B">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0496B00E">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24AE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143F1D8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4648C0E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restart"/>
            <w:shd w:val="clear" w:color="auto" w:fill="auto"/>
            <w:vAlign w:val="center"/>
          </w:tcPr>
          <w:p w14:paraId="02B87EE3">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电炉炼钢</w:t>
            </w:r>
          </w:p>
        </w:tc>
        <w:tc>
          <w:tcPr>
            <w:tcW w:w="1520" w:type="dxa"/>
            <w:shd w:val="clear" w:color="auto" w:fill="auto"/>
            <w:vAlign w:val="center"/>
          </w:tcPr>
          <w:p w14:paraId="73E122F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第四孔排烟</w:t>
            </w:r>
          </w:p>
        </w:tc>
        <w:tc>
          <w:tcPr>
            <w:tcW w:w="1456" w:type="dxa"/>
            <w:shd w:val="clear" w:color="auto" w:fill="auto"/>
            <w:vAlign w:val="center"/>
          </w:tcPr>
          <w:p w14:paraId="1F34895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颗粒物、二噁英</w:t>
            </w:r>
          </w:p>
        </w:tc>
        <w:tc>
          <w:tcPr>
            <w:tcW w:w="1808" w:type="dxa"/>
            <w:shd w:val="clear" w:color="auto" w:fill="auto"/>
            <w:vAlign w:val="center"/>
          </w:tcPr>
          <w:p w14:paraId="3FD60660">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炉内排烟+密闭罩+屋顶罩+袋式除尘器</w:t>
            </w:r>
          </w:p>
        </w:tc>
      </w:tr>
      <w:tr w14:paraId="5024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7257345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2C190913">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33C9DFB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2835167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加废钢、加辅料、出渣、出钢等</w:t>
            </w:r>
          </w:p>
        </w:tc>
        <w:tc>
          <w:tcPr>
            <w:tcW w:w="1456" w:type="dxa"/>
            <w:shd w:val="clear" w:color="auto" w:fill="auto"/>
            <w:vAlign w:val="center"/>
          </w:tcPr>
          <w:p w14:paraId="4AF58A9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78B0BC61">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3551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17DDF11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0114EB2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shd w:val="clear" w:color="auto" w:fill="auto"/>
            <w:vAlign w:val="center"/>
          </w:tcPr>
          <w:p w14:paraId="1A9A926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精炼</w:t>
            </w:r>
          </w:p>
        </w:tc>
        <w:tc>
          <w:tcPr>
            <w:tcW w:w="1520" w:type="dxa"/>
            <w:shd w:val="clear" w:color="auto" w:fill="auto"/>
            <w:vAlign w:val="center"/>
          </w:tcPr>
          <w:p w14:paraId="7B88F153">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钢包精炼炉（LF）、真空循环脱气装置（RH）、真空脱气处理装置（VD）、真空吹氧脱碳装置（VOD）等设施的精炼过程</w:t>
            </w:r>
          </w:p>
        </w:tc>
        <w:tc>
          <w:tcPr>
            <w:tcW w:w="1456" w:type="dxa"/>
            <w:shd w:val="clear" w:color="auto" w:fill="auto"/>
            <w:vAlign w:val="center"/>
          </w:tcPr>
          <w:p w14:paraId="50D5118A">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589A14A0">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1D09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587FE6A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7466772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shd w:val="clear" w:color="auto" w:fill="auto"/>
            <w:vAlign w:val="center"/>
          </w:tcPr>
          <w:p w14:paraId="361BB9C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连铸</w:t>
            </w:r>
          </w:p>
        </w:tc>
        <w:tc>
          <w:tcPr>
            <w:tcW w:w="1520" w:type="dxa"/>
            <w:shd w:val="clear" w:color="auto" w:fill="auto"/>
            <w:vAlign w:val="center"/>
          </w:tcPr>
          <w:p w14:paraId="12B531CB">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中间罐倾翻和修砌、连铸结晶器浇铸及添加保护渣、火焰清理机作业、连铸切割机作业、二冷段铸坯冷却等</w:t>
            </w:r>
          </w:p>
        </w:tc>
        <w:tc>
          <w:tcPr>
            <w:tcW w:w="1456" w:type="dxa"/>
            <w:shd w:val="clear" w:color="auto" w:fill="auto"/>
            <w:vAlign w:val="center"/>
          </w:tcPr>
          <w:p w14:paraId="2F582A9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62953E40">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22E8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4ED0FBA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7462144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restart"/>
            <w:shd w:val="clear" w:color="auto" w:fill="auto"/>
            <w:vAlign w:val="center"/>
          </w:tcPr>
          <w:p w14:paraId="5201034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白灰</w:t>
            </w:r>
          </w:p>
        </w:tc>
        <w:tc>
          <w:tcPr>
            <w:tcW w:w="1520" w:type="dxa"/>
            <w:shd w:val="clear" w:color="auto" w:fill="auto"/>
            <w:vAlign w:val="center"/>
          </w:tcPr>
          <w:p w14:paraId="1652016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转运、冷却、成品破碎、筛分</w:t>
            </w:r>
          </w:p>
        </w:tc>
        <w:tc>
          <w:tcPr>
            <w:tcW w:w="1456" w:type="dxa"/>
            <w:shd w:val="clear" w:color="auto" w:fill="auto"/>
            <w:vAlign w:val="center"/>
          </w:tcPr>
          <w:p w14:paraId="1BD44B6B">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6A35B888">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6C40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149E277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16DCD62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5D1D60A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2CDB4F4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竖窑、回转窑煅烧</w:t>
            </w:r>
          </w:p>
        </w:tc>
        <w:tc>
          <w:tcPr>
            <w:tcW w:w="1456" w:type="dxa"/>
            <w:shd w:val="clear" w:color="auto" w:fill="auto"/>
            <w:vAlign w:val="center"/>
          </w:tcPr>
          <w:p w14:paraId="5150A37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颗粒物、SO</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、NO</w:t>
            </w:r>
            <w:r>
              <w:rPr>
                <w:rFonts w:hint="eastAsia" w:ascii="Times New Roman" w:hAnsi="Times New Roman" w:cs="Times New Roman"/>
                <w:sz w:val="18"/>
                <w:szCs w:val="18"/>
                <w:vertAlign w:val="subscript"/>
              </w:rPr>
              <w:t>X</w:t>
            </w:r>
          </w:p>
        </w:tc>
        <w:tc>
          <w:tcPr>
            <w:tcW w:w="1808" w:type="dxa"/>
            <w:shd w:val="clear" w:color="auto" w:fill="auto"/>
            <w:vAlign w:val="center"/>
          </w:tcPr>
          <w:p w14:paraId="58AC16CD">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除尘：袋式除尘、电袋复合除尘；脱硫脱硝同上</w:t>
            </w:r>
          </w:p>
        </w:tc>
      </w:tr>
      <w:tr w14:paraId="4D62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016BA39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455C4CB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48C286E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2F2AABD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成品输送、转运</w:t>
            </w:r>
          </w:p>
        </w:tc>
        <w:tc>
          <w:tcPr>
            <w:tcW w:w="1456" w:type="dxa"/>
            <w:shd w:val="clear" w:color="auto" w:fill="auto"/>
            <w:vAlign w:val="center"/>
          </w:tcPr>
          <w:p w14:paraId="7BD5D18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4C5F2F31">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2092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322D3CF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1A9396A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restart"/>
            <w:shd w:val="clear" w:color="auto" w:fill="auto"/>
            <w:vAlign w:val="center"/>
          </w:tcPr>
          <w:p w14:paraId="5AE8C81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其他</w:t>
            </w:r>
          </w:p>
        </w:tc>
        <w:tc>
          <w:tcPr>
            <w:tcW w:w="1520" w:type="dxa"/>
            <w:shd w:val="clear" w:color="auto" w:fill="auto"/>
            <w:vAlign w:val="center"/>
          </w:tcPr>
          <w:p w14:paraId="673F575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原辅料输送、地下料仓、上料系统等</w:t>
            </w:r>
          </w:p>
        </w:tc>
        <w:tc>
          <w:tcPr>
            <w:tcW w:w="1456" w:type="dxa"/>
            <w:shd w:val="clear" w:color="auto" w:fill="auto"/>
            <w:vAlign w:val="center"/>
          </w:tcPr>
          <w:p w14:paraId="6B7BCCD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62C0164E">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0BB8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2900DC3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517032E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7CC770C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1F69AF6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钢渣处理</w:t>
            </w:r>
          </w:p>
        </w:tc>
        <w:tc>
          <w:tcPr>
            <w:tcW w:w="1456" w:type="dxa"/>
            <w:shd w:val="clear" w:color="auto" w:fill="auto"/>
            <w:vAlign w:val="center"/>
          </w:tcPr>
          <w:p w14:paraId="0F1A107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0E42F78E">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湿式电除尘、袋式除尘、滤筒除尘、高效湿式除尘</w:t>
            </w:r>
          </w:p>
        </w:tc>
      </w:tr>
      <w:tr w14:paraId="5168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1475F73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5CDC722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5FA3AAC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5EA95D3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中间罐和钢包烘烤</w:t>
            </w:r>
          </w:p>
        </w:tc>
        <w:tc>
          <w:tcPr>
            <w:tcW w:w="1456" w:type="dxa"/>
            <w:shd w:val="clear" w:color="auto" w:fill="auto"/>
            <w:vAlign w:val="center"/>
          </w:tcPr>
          <w:p w14:paraId="36A0810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15555411">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252E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restart"/>
            <w:shd w:val="clear" w:color="auto" w:fill="auto"/>
            <w:vAlign w:val="center"/>
          </w:tcPr>
          <w:p w14:paraId="16387791">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轧钢</w:t>
            </w:r>
          </w:p>
        </w:tc>
        <w:tc>
          <w:tcPr>
            <w:tcW w:w="1580" w:type="dxa"/>
            <w:vMerge w:val="restart"/>
            <w:shd w:val="clear" w:color="auto" w:fill="auto"/>
            <w:vAlign w:val="center"/>
          </w:tcPr>
          <w:p w14:paraId="5392A55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热轧生产线、冷轧生产线、酸洗处理线、涂镀生产线、其他</w:t>
            </w:r>
          </w:p>
        </w:tc>
        <w:tc>
          <w:tcPr>
            <w:tcW w:w="1560" w:type="dxa"/>
            <w:gridSpan w:val="2"/>
            <w:vMerge w:val="restart"/>
            <w:shd w:val="clear" w:color="auto" w:fill="auto"/>
            <w:vAlign w:val="center"/>
          </w:tcPr>
          <w:p w14:paraId="7DA2771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热轧生产线</w:t>
            </w:r>
          </w:p>
        </w:tc>
        <w:tc>
          <w:tcPr>
            <w:tcW w:w="1520" w:type="dxa"/>
            <w:shd w:val="clear" w:color="auto" w:fill="auto"/>
            <w:vAlign w:val="center"/>
          </w:tcPr>
          <w:p w14:paraId="7DA646A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精轧机组</w:t>
            </w:r>
          </w:p>
        </w:tc>
        <w:tc>
          <w:tcPr>
            <w:tcW w:w="1456" w:type="dxa"/>
            <w:shd w:val="clear" w:color="auto" w:fill="auto"/>
            <w:vAlign w:val="center"/>
          </w:tcPr>
          <w:p w14:paraId="716DAC2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4996DAF1">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电袋复合除尘、塑烧板除尘、湿式电除尘</w:t>
            </w:r>
          </w:p>
        </w:tc>
      </w:tr>
      <w:tr w14:paraId="1CA7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5C0B9AE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4CF2434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0B3BFEC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2452FBB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热处理炉</w:t>
            </w:r>
          </w:p>
        </w:tc>
        <w:tc>
          <w:tcPr>
            <w:tcW w:w="1456" w:type="dxa"/>
            <w:shd w:val="clear" w:color="auto" w:fill="auto"/>
            <w:vAlign w:val="center"/>
          </w:tcPr>
          <w:p w14:paraId="12F3A53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颗粒物、SO</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、NO</w:t>
            </w:r>
            <w:r>
              <w:rPr>
                <w:rFonts w:hint="eastAsia" w:ascii="Times New Roman" w:hAnsi="Times New Roman" w:cs="Times New Roman"/>
                <w:sz w:val="18"/>
                <w:szCs w:val="18"/>
                <w:vertAlign w:val="subscript"/>
              </w:rPr>
              <w:t>X</w:t>
            </w:r>
          </w:p>
        </w:tc>
        <w:tc>
          <w:tcPr>
            <w:tcW w:w="1808" w:type="dxa"/>
            <w:shd w:val="clear" w:color="auto" w:fill="auto"/>
            <w:vAlign w:val="center"/>
          </w:tcPr>
          <w:p w14:paraId="2C6F9B1A">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除尘：燃用净化煤气、天然气；脱硫：高炉煤气精脱硫、石灰石/石灰-石膏法、氨法脱硫、旋转喷雾干燥法、循环流化床法、氧化镁法、密相干塔法、固定床法；脱硝：低氮燃烧、活性炭（焦）法、选择性催化还原法</w:t>
            </w:r>
          </w:p>
        </w:tc>
      </w:tr>
      <w:tr w14:paraId="3FE6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178A93A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16D575F5">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5A7C894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1919B144">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拉矫、精整、抛丸、修磨、焊接机及其他生产设施</w:t>
            </w:r>
          </w:p>
        </w:tc>
        <w:tc>
          <w:tcPr>
            <w:tcW w:w="1456" w:type="dxa"/>
            <w:shd w:val="clear" w:color="auto" w:fill="auto"/>
            <w:vAlign w:val="center"/>
          </w:tcPr>
          <w:p w14:paraId="63E90177">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6B151C32">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袋式除尘、滤筒除尘</w:t>
            </w:r>
          </w:p>
        </w:tc>
      </w:tr>
      <w:tr w14:paraId="6C9E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74F55EF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6B2608BB">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restart"/>
            <w:shd w:val="clear" w:color="auto" w:fill="auto"/>
            <w:vAlign w:val="center"/>
          </w:tcPr>
          <w:p w14:paraId="1E2E331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冷轧生产线</w:t>
            </w:r>
          </w:p>
        </w:tc>
        <w:tc>
          <w:tcPr>
            <w:tcW w:w="1520" w:type="dxa"/>
            <w:shd w:val="clear" w:color="auto" w:fill="auto"/>
            <w:vAlign w:val="center"/>
          </w:tcPr>
          <w:p w14:paraId="0C01D82A">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轧制机组</w:t>
            </w:r>
          </w:p>
        </w:tc>
        <w:tc>
          <w:tcPr>
            <w:tcW w:w="1456" w:type="dxa"/>
            <w:shd w:val="clear" w:color="auto" w:fill="auto"/>
            <w:vAlign w:val="center"/>
          </w:tcPr>
          <w:p w14:paraId="6E5687E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油雾</w:t>
            </w:r>
          </w:p>
        </w:tc>
        <w:tc>
          <w:tcPr>
            <w:tcW w:w="1808" w:type="dxa"/>
            <w:shd w:val="clear" w:color="auto" w:fill="auto"/>
            <w:vAlign w:val="center"/>
          </w:tcPr>
          <w:p w14:paraId="03F73561">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过滤式净化</w:t>
            </w:r>
          </w:p>
        </w:tc>
      </w:tr>
      <w:tr w14:paraId="3ADC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68956AD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453C06A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237E483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7E18AF5A">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酸洗、碱洗处理线</w:t>
            </w:r>
          </w:p>
        </w:tc>
        <w:tc>
          <w:tcPr>
            <w:tcW w:w="1456" w:type="dxa"/>
            <w:shd w:val="clear" w:color="auto" w:fill="auto"/>
            <w:vAlign w:val="center"/>
          </w:tcPr>
          <w:p w14:paraId="1F088270">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颗粒物、酸雾、碱雾、氟化物</w:t>
            </w:r>
          </w:p>
        </w:tc>
        <w:tc>
          <w:tcPr>
            <w:tcW w:w="1808" w:type="dxa"/>
            <w:shd w:val="clear" w:color="auto" w:fill="auto"/>
            <w:vAlign w:val="center"/>
          </w:tcPr>
          <w:p w14:paraId="5BF2828D">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湿法喷淋净化</w:t>
            </w:r>
          </w:p>
        </w:tc>
      </w:tr>
      <w:tr w14:paraId="645C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18F08AD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0252F7C2">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39ACCFC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1737D0F6">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镀锌处理线</w:t>
            </w:r>
          </w:p>
        </w:tc>
        <w:tc>
          <w:tcPr>
            <w:tcW w:w="1456" w:type="dxa"/>
            <w:shd w:val="clear" w:color="auto" w:fill="auto"/>
            <w:vAlign w:val="center"/>
          </w:tcPr>
          <w:p w14:paraId="7184C1A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1808" w:type="dxa"/>
            <w:shd w:val="clear" w:color="auto" w:fill="auto"/>
            <w:vAlign w:val="center"/>
          </w:tcPr>
          <w:p w14:paraId="62FA0C0C">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r>
      <w:tr w14:paraId="0BC1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shd w:val="clear" w:color="auto" w:fill="auto"/>
            <w:vAlign w:val="center"/>
          </w:tcPr>
          <w:p w14:paraId="7591117A">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80" w:type="dxa"/>
            <w:vMerge w:val="continue"/>
            <w:shd w:val="clear" w:color="auto" w:fill="auto"/>
            <w:vAlign w:val="center"/>
          </w:tcPr>
          <w:p w14:paraId="32C7C0CB">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60" w:type="dxa"/>
            <w:gridSpan w:val="2"/>
            <w:vMerge w:val="continue"/>
            <w:shd w:val="clear" w:color="auto" w:fill="auto"/>
            <w:vAlign w:val="center"/>
          </w:tcPr>
          <w:p w14:paraId="44A95D8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p>
        </w:tc>
        <w:tc>
          <w:tcPr>
            <w:tcW w:w="1520" w:type="dxa"/>
            <w:shd w:val="clear" w:color="auto" w:fill="auto"/>
            <w:vAlign w:val="center"/>
          </w:tcPr>
          <w:p w14:paraId="4318B169">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涂镀生产线</w:t>
            </w:r>
          </w:p>
        </w:tc>
        <w:tc>
          <w:tcPr>
            <w:tcW w:w="1456" w:type="dxa"/>
            <w:shd w:val="clear" w:color="auto" w:fill="auto"/>
            <w:vAlign w:val="center"/>
          </w:tcPr>
          <w:p w14:paraId="697A7323">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颗粒物、酸雾、碱雾、油雾、非甲烷总烃、苯系物</w:t>
            </w:r>
          </w:p>
        </w:tc>
        <w:tc>
          <w:tcPr>
            <w:tcW w:w="1808" w:type="dxa"/>
            <w:shd w:val="clear" w:color="auto" w:fill="auto"/>
            <w:vAlign w:val="center"/>
          </w:tcPr>
          <w:p w14:paraId="275F8362">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高温焚烧技术、催化焚烧净化技术</w:t>
            </w:r>
          </w:p>
        </w:tc>
      </w:tr>
      <w:tr w14:paraId="53E3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shd w:val="clear" w:color="auto" w:fill="auto"/>
            <w:vAlign w:val="center"/>
          </w:tcPr>
          <w:p w14:paraId="3EB659FC">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炼焦工序</w:t>
            </w:r>
          </w:p>
        </w:tc>
        <w:tc>
          <w:tcPr>
            <w:tcW w:w="1580" w:type="dxa"/>
            <w:shd w:val="clear" w:color="auto" w:fill="auto"/>
            <w:vAlign w:val="center"/>
          </w:tcPr>
          <w:p w14:paraId="6D8EA21A">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焦炉</w:t>
            </w:r>
          </w:p>
        </w:tc>
        <w:tc>
          <w:tcPr>
            <w:tcW w:w="3080" w:type="dxa"/>
            <w:gridSpan w:val="3"/>
            <w:shd w:val="clear" w:color="auto" w:fill="auto"/>
            <w:vAlign w:val="center"/>
          </w:tcPr>
          <w:p w14:paraId="27376D4B">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焦炉（含装焦、推焦、干熄焦）</w:t>
            </w:r>
          </w:p>
        </w:tc>
        <w:tc>
          <w:tcPr>
            <w:tcW w:w="1456" w:type="dxa"/>
            <w:shd w:val="clear" w:color="auto" w:fill="auto"/>
            <w:vAlign w:val="center"/>
          </w:tcPr>
          <w:p w14:paraId="1A12353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颗粒物、SO</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、NO</w:t>
            </w:r>
            <w:r>
              <w:rPr>
                <w:rFonts w:hint="eastAsia" w:ascii="Times New Roman" w:hAnsi="Times New Roman" w:cs="Times New Roman"/>
                <w:sz w:val="18"/>
                <w:szCs w:val="18"/>
                <w:vertAlign w:val="subscript"/>
              </w:rPr>
              <w:t>X</w:t>
            </w:r>
          </w:p>
        </w:tc>
        <w:tc>
          <w:tcPr>
            <w:tcW w:w="1808" w:type="dxa"/>
            <w:shd w:val="clear" w:color="auto" w:fill="auto"/>
            <w:vAlign w:val="center"/>
          </w:tcPr>
          <w:p w14:paraId="750B163D">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同上除尘、脱硫、脱硝技术</w:t>
            </w:r>
          </w:p>
        </w:tc>
      </w:tr>
      <w:tr w14:paraId="1728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6" w:type="dxa"/>
            <w:shd w:val="clear" w:color="auto" w:fill="auto"/>
            <w:vAlign w:val="center"/>
          </w:tcPr>
          <w:p w14:paraId="1541758D">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公用单元</w:t>
            </w:r>
          </w:p>
        </w:tc>
        <w:tc>
          <w:tcPr>
            <w:tcW w:w="1580" w:type="dxa"/>
            <w:shd w:val="clear" w:color="auto" w:fill="auto"/>
            <w:vAlign w:val="center"/>
          </w:tcPr>
          <w:p w14:paraId="7BC981BA">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发电机组</w:t>
            </w:r>
          </w:p>
        </w:tc>
        <w:tc>
          <w:tcPr>
            <w:tcW w:w="3080" w:type="dxa"/>
            <w:gridSpan w:val="3"/>
            <w:shd w:val="clear" w:color="auto" w:fill="auto"/>
            <w:vAlign w:val="center"/>
          </w:tcPr>
          <w:p w14:paraId="4D4742BE">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燃气锅炉、燃煤锅炉、燃油锅炉废气</w:t>
            </w:r>
          </w:p>
        </w:tc>
        <w:tc>
          <w:tcPr>
            <w:tcW w:w="1456" w:type="dxa"/>
            <w:shd w:val="clear" w:color="auto" w:fill="auto"/>
            <w:vAlign w:val="center"/>
          </w:tcPr>
          <w:p w14:paraId="57A8415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颗粒物、SO</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、NO</w:t>
            </w:r>
            <w:r>
              <w:rPr>
                <w:rFonts w:hint="eastAsia" w:ascii="Times New Roman" w:hAnsi="Times New Roman" w:cs="Times New Roman"/>
                <w:sz w:val="18"/>
                <w:szCs w:val="18"/>
                <w:vertAlign w:val="subscript"/>
              </w:rPr>
              <w:t>X</w:t>
            </w:r>
            <w:r>
              <w:rPr>
                <w:rFonts w:hint="eastAsia" w:ascii="Times New Roman" w:hAnsi="Times New Roman" w:cs="Times New Roman"/>
                <w:sz w:val="18"/>
                <w:szCs w:val="18"/>
              </w:rPr>
              <w:t>、烟气黑度</w:t>
            </w:r>
          </w:p>
        </w:tc>
        <w:tc>
          <w:tcPr>
            <w:tcW w:w="1808" w:type="dxa"/>
            <w:shd w:val="clear" w:color="auto" w:fill="auto"/>
            <w:vAlign w:val="center"/>
          </w:tcPr>
          <w:p w14:paraId="58A13AC8">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同上除尘、脱硫、脱硝技术</w:t>
            </w:r>
          </w:p>
        </w:tc>
      </w:tr>
    </w:tbl>
    <w:p w14:paraId="43A782BC">
      <w:pPr>
        <w:pStyle w:val="37"/>
        <w:spacing w:before="156"/>
        <w:ind w:left="0"/>
      </w:pPr>
      <w:bookmarkStart w:id="24" w:name="_Toc217058290"/>
      <w:r>
        <w:t>4.4 钢铁行业污染物控制技术</w:t>
      </w:r>
      <w:bookmarkEnd w:id="24"/>
    </w:p>
    <w:p w14:paraId="1AB6B96C">
      <w:pPr>
        <w:pStyle w:val="43"/>
        <w:ind w:firstLine="723" w:firstLineChars="300"/>
        <w:rPr>
          <w:rFonts w:eastAsia="宋体" w:cs="Times New Roman"/>
        </w:rPr>
      </w:pPr>
      <w:bookmarkStart w:id="25" w:name="_Toc185781613"/>
      <w:bookmarkStart w:id="26" w:name="_Toc185778984"/>
      <w:bookmarkStart w:id="27" w:name="_Toc185784323"/>
      <w:bookmarkStart w:id="28" w:name="_Toc217058291"/>
      <w:bookmarkStart w:id="29" w:name="_Toc185779048"/>
      <w:r>
        <w:rPr>
          <w:rFonts w:eastAsia="宋体" w:cs="Times New Roman"/>
        </w:rPr>
        <w:t>4.4.1 源头防治措施</w:t>
      </w:r>
      <w:bookmarkEnd w:id="25"/>
      <w:bookmarkEnd w:id="26"/>
      <w:bookmarkEnd w:id="27"/>
      <w:bookmarkEnd w:id="28"/>
      <w:bookmarkEnd w:id="29"/>
    </w:p>
    <w:p w14:paraId="451CC3B7">
      <w:pPr>
        <w:pStyle w:val="13"/>
        <w:spacing w:line="360" w:lineRule="auto"/>
        <w:ind w:firstLine="480" w:firstLineChars="200"/>
        <w:rPr>
          <w:rFonts w:ascii="Times New Roman" w:hAnsi="Times New Roman"/>
        </w:rPr>
      </w:pPr>
      <w:r>
        <w:rPr>
          <w:rFonts w:ascii="Times New Roman" w:hAnsi="Times New Roman"/>
        </w:rPr>
        <w:t>（1）烧结机头废气循环技术</w:t>
      </w:r>
    </w:p>
    <w:p w14:paraId="7AED3A3F">
      <w:pPr>
        <w:pStyle w:val="13"/>
        <w:spacing w:line="360" w:lineRule="auto"/>
        <w:ind w:firstLine="480" w:firstLineChars="200"/>
        <w:jc w:val="both"/>
        <w:rPr>
          <w:rFonts w:ascii="Times New Roman" w:hAnsi="Times New Roman"/>
        </w:rPr>
      </w:pPr>
      <w:r>
        <w:rPr>
          <w:rFonts w:ascii="Times New Roman" w:hAnsi="Times New Roman"/>
        </w:rPr>
        <w:t>烧结冷却机（或机头）废气循环技术是将烧结冷却机（或机头）产生的热废气收集后回用于烧结工序的技术。废气循环技术主要有内循环和外循环两种工艺，烧结机主抽及冷却段选取部分风箱连接烟气管道，经除尘器除尘后由循环风机送至主抽风箱上部平台密封罩内，再次进行循环燃烧。其原理是利用一部分烧结烟气和冷却废气代替空气重新参与燃烧，在烧结过程中回收利用气体热量，并使其中高浓度一氧化碳再次燃烧。烧结烟气循环利用不但可以显著减少废气排放总量及污染排放量，而且能有效回收烟气中的余热、降低烧结工序能耗、改善烧结矿质量。</w:t>
      </w:r>
    </w:p>
    <w:p w14:paraId="1DD75BF5">
      <w:pPr>
        <w:pStyle w:val="13"/>
        <w:spacing w:line="360" w:lineRule="auto"/>
        <w:ind w:firstLine="480" w:firstLineChars="200"/>
        <w:rPr>
          <w:rFonts w:ascii="Times New Roman" w:hAnsi="Times New Roman"/>
        </w:rPr>
      </w:pPr>
      <w:r>
        <w:rPr>
          <w:rFonts w:ascii="Times New Roman" w:hAnsi="Times New Roman"/>
        </w:rPr>
        <w:t>（2）料面喷蒸汽、富氧助燃技术</w:t>
      </w:r>
    </w:p>
    <w:p w14:paraId="2272C945">
      <w:pPr>
        <w:pStyle w:val="13"/>
        <w:spacing w:line="360" w:lineRule="auto"/>
        <w:ind w:firstLine="480" w:firstLineChars="200"/>
        <w:jc w:val="both"/>
        <w:rPr>
          <w:rFonts w:ascii="Times New Roman" w:hAnsi="Times New Roman"/>
        </w:rPr>
      </w:pPr>
      <w:r>
        <w:rPr>
          <w:rFonts w:ascii="Times New Roman" w:hAnsi="Times New Roman"/>
        </w:rPr>
        <w:t>料面喷蒸汽技术是对烧结矿表层进行喷吹蒸汽，蒸汽在烧结主抽风机的抽力下快速进入料层，其原理是利用水与燃料碳的气化反应扩大了燃料孔隙度，增加碳氧反应面积，有利于燃料的燃尽。氢气和水均可增强烟气的扩散能力和传热效率，水的辐射发热较强，可提高气体的辐射辐射传热能力。通过采用料面喷蒸汽技术，可降低烧结生产固体燃料消耗，减污降碳效果明显。</w:t>
      </w:r>
    </w:p>
    <w:p w14:paraId="12FB7231">
      <w:pPr>
        <w:pStyle w:val="13"/>
        <w:spacing w:line="360" w:lineRule="auto"/>
        <w:ind w:firstLine="480" w:firstLineChars="200"/>
        <w:jc w:val="both"/>
        <w:rPr>
          <w:rFonts w:ascii="Times New Roman" w:hAnsi="Times New Roman"/>
        </w:rPr>
      </w:pPr>
      <w:r>
        <w:rPr>
          <w:rFonts w:ascii="Times New Roman" w:hAnsi="Times New Roman"/>
        </w:rPr>
        <w:t>富氧助燃技术是通过提高点火助燃空气和抽入料层空气的氧气量，改善燃料燃烧条件，增强氧化带的燃烧气氛，富氧烧结可使烧结液相生成量增加，保温时间延长，使烧结矿成品率及转鼓指数均随之升高，并使烧结料层中的固体燃料得到充分燃烧，从而降低燃耗，减少一氧化碳和二氧化碳排放。其原理是通过供给燃烧用的气体中氧气体积分数大于21%，确保加快燃烧速度，提高燃烧效率，减少废气排放。</w:t>
      </w:r>
    </w:p>
    <w:p w14:paraId="78F7064D">
      <w:pPr>
        <w:pStyle w:val="13"/>
        <w:spacing w:line="360" w:lineRule="auto"/>
        <w:ind w:firstLine="480" w:firstLineChars="200"/>
        <w:jc w:val="both"/>
        <w:rPr>
          <w:rFonts w:ascii="Times New Roman" w:hAnsi="Times New Roman"/>
        </w:rPr>
      </w:pPr>
      <w:r>
        <w:rPr>
          <w:rFonts w:ascii="Times New Roman" w:hAnsi="Times New Roman"/>
        </w:rPr>
        <w:t>（3）高炉炉顶料罐均压放散废气回收或净化措施</w:t>
      </w:r>
    </w:p>
    <w:p w14:paraId="4CC3F3FA">
      <w:pPr>
        <w:pStyle w:val="13"/>
        <w:spacing w:line="360" w:lineRule="auto"/>
        <w:ind w:firstLine="480" w:firstLineChars="200"/>
        <w:jc w:val="both"/>
        <w:rPr>
          <w:rFonts w:ascii="Times New Roman" w:hAnsi="Times New Roman"/>
        </w:rPr>
      </w:pPr>
      <w:r>
        <w:rPr>
          <w:rFonts w:ascii="Times New Roman" w:hAnsi="Times New Roman"/>
        </w:rPr>
        <w:t>高炉均压放散煤气全回收技术是在放散管道上的放散阀后接有引射器。当料罐达到设定压力（约40～50kPa）后，打开放散阀的同时开启引射阀，启动引射器，快速将料罐内残余煤气抽入现有除尘系统，待料罐压力最终降至上密封阀能够打开的压力（2～3kPa）时，关闭回收阀, 打开上密封阀，炉顶正常放料。全回收流程不会发生对空放散的情况，从而实现均压煤气的全回收。均压回收系统最大程度的减少了高炉煤气的对空放散，减低颗粒物、一氧化碳的排放量。</w:t>
      </w:r>
    </w:p>
    <w:p w14:paraId="567BBAE1">
      <w:pPr>
        <w:pStyle w:val="13"/>
        <w:spacing w:line="360" w:lineRule="auto"/>
        <w:ind w:firstLine="480" w:firstLineChars="200"/>
        <w:rPr>
          <w:rFonts w:ascii="Times New Roman" w:hAnsi="Times New Roman"/>
        </w:rPr>
      </w:pPr>
      <w:r>
        <w:rPr>
          <w:rFonts w:ascii="Times New Roman" w:hAnsi="Times New Roman"/>
        </w:rPr>
        <w:t>（4）高炉煤气休风净化回收、高炉煤气零放散技术</w:t>
      </w:r>
    </w:p>
    <w:p w14:paraId="38FABC67">
      <w:pPr>
        <w:pStyle w:val="13"/>
        <w:spacing w:line="360" w:lineRule="auto"/>
        <w:ind w:firstLine="480" w:firstLineChars="200"/>
        <w:jc w:val="both"/>
        <w:rPr>
          <w:rFonts w:ascii="Times New Roman" w:hAnsi="Times New Roman"/>
        </w:rPr>
      </w:pPr>
      <w:r>
        <w:rPr>
          <w:rFonts w:ascii="Times New Roman" w:hAnsi="Times New Roman"/>
        </w:rPr>
        <w:t>高炉煤气休风净化回收技术是指将原设计在高炉休风时需要放散的煤气，利用氮气或者蒸汽进行引射，将休风的高炉煤气回收进入低压管网，提升了高炉煤气的回收利用率，既减少了煤气的放散又节约了能源，起到了减污降碳的作用。其原理是在干法除尘器后设置高压引射装置，利用氮气或者蒸汽等高压引射介质作为动力源，对高炉煤气进行引射回收，解决了高炉休风无序放散的问题。</w:t>
      </w:r>
    </w:p>
    <w:p w14:paraId="40D8E30E">
      <w:pPr>
        <w:pStyle w:val="13"/>
        <w:spacing w:line="360" w:lineRule="auto"/>
        <w:ind w:firstLine="480" w:firstLineChars="200"/>
        <w:jc w:val="both"/>
        <w:rPr>
          <w:rFonts w:ascii="Times New Roman" w:hAnsi="Times New Roman"/>
        </w:rPr>
      </w:pPr>
      <w:r>
        <w:rPr>
          <w:rFonts w:ascii="Times New Roman" w:hAnsi="Times New Roman"/>
        </w:rPr>
        <w:t>高炉煤气零放散技术是在当前行业内常规适用的放散系统基础上，在放散系统的连接管和放散塔之间增设了水封系统，改变了密封隔绝方式，由阀门截断变为流体介质密封，避免机械阀门关闭不彻底造成的CO无组织放散，实现高炉煤气零放散。</w:t>
      </w:r>
    </w:p>
    <w:p w14:paraId="1CC86282">
      <w:pPr>
        <w:pStyle w:val="13"/>
        <w:spacing w:line="360" w:lineRule="auto"/>
        <w:ind w:firstLine="480" w:firstLineChars="200"/>
        <w:rPr>
          <w:rFonts w:ascii="Times New Roman" w:hAnsi="Times New Roman"/>
        </w:rPr>
      </w:pPr>
      <w:r>
        <w:rPr>
          <w:rFonts w:ascii="Times New Roman" w:hAnsi="Times New Roman"/>
        </w:rPr>
        <w:t>（5）转炉煤气自动点火伴烧技术</w:t>
      </w:r>
    </w:p>
    <w:p w14:paraId="092D2ED3">
      <w:pPr>
        <w:pStyle w:val="13"/>
        <w:spacing w:line="360" w:lineRule="auto"/>
        <w:ind w:firstLine="480" w:firstLineChars="200"/>
        <w:jc w:val="both"/>
        <w:rPr>
          <w:rFonts w:ascii="Times New Roman" w:hAnsi="Times New Roman"/>
        </w:rPr>
      </w:pPr>
      <w:r>
        <w:rPr>
          <w:rFonts w:ascii="Times New Roman" w:hAnsi="Times New Roman"/>
        </w:rPr>
        <w:t>转炉煤气自动点火伴烧技术通过采用等离子直燃式点火器，无需液化气或其他高热值伴烧气体，直接利用煤气点燃放散气体。其原理是利用等离子点火器产生的高压电流送给高空点火器内电梯发弧发生装置，产生面状电弧，同时在直燃式高空点火器内部在催化反应作用下被点燃，从高空点火伴烧器上部喷出火焰，点燃放散的转炉煤气。</w:t>
      </w:r>
    </w:p>
    <w:p w14:paraId="75866450">
      <w:pPr>
        <w:pStyle w:val="13"/>
        <w:spacing w:line="360" w:lineRule="auto"/>
        <w:ind w:firstLine="480" w:firstLineChars="200"/>
        <w:rPr>
          <w:rFonts w:ascii="Times New Roman" w:hAnsi="Times New Roman"/>
        </w:rPr>
      </w:pPr>
      <w:r>
        <w:rPr>
          <w:rFonts w:ascii="Times New Roman" w:hAnsi="Times New Roman"/>
        </w:rPr>
        <w:t>（6）轧钢加热炉煤气反吹措施和空燃比优化技术</w:t>
      </w:r>
    </w:p>
    <w:p w14:paraId="711843DA">
      <w:pPr>
        <w:pStyle w:val="13"/>
        <w:spacing w:line="360" w:lineRule="auto"/>
        <w:ind w:firstLine="480" w:firstLineChars="200"/>
        <w:jc w:val="both"/>
        <w:rPr>
          <w:rFonts w:ascii="Times New Roman" w:hAnsi="Times New Roman"/>
        </w:rPr>
      </w:pPr>
      <w:r>
        <w:rPr>
          <w:rFonts w:ascii="Times New Roman" w:hAnsi="Times New Roman"/>
        </w:rPr>
        <w:t>蓄热燃烧技术目前应用范围较广，普遍应用于各种类型的工业炉窑。蓄热燃烧是以换向阀的频繁换向为基础，利用烧嘴内的蓄热体来储存热量并实现极限回收，每次换向阀切换，一组（侧）烧嘴由燃烧状态转变成排烟状态时，换向阀到蓄热式烧嘴之间的煤气就会被排烟系统抽走，加热炉煤气反吹技术，是在原加热炉排烟系统风机后取点，通过新增反吹风机及反吹系统，将煤气引出循环至加热炉换向阀前，在每次换向排烟前将“公共区域”的残存煤气反吹进炉膛进行燃烧，进而解决“公共区域”煤气直排的问题。</w:t>
      </w:r>
    </w:p>
    <w:p w14:paraId="20250174">
      <w:pPr>
        <w:pStyle w:val="13"/>
        <w:spacing w:line="360" w:lineRule="auto"/>
        <w:ind w:firstLine="480" w:firstLineChars="200"/>
        <w:jc w:val="both"/>
        <w:rPr>
          <w:rFonts w:ascii="Times New Roman" w:hAnsi="Times New Roman"/>
        </w:rPr>
      </w:pPr>
      <w:r>
        <w:rPr>
          <w:rFonts w:ascii="Times New Roman" w:hAnsi="Times New Roman"/>
        </w:rPr>
        <w:t>在加热炉、热风炉燃烧期间，空燃比是燃烧控制过程中的重要参数，很大程度上影响着燃烧效率。目前高炉各类热风炉和轧钢加热炉不能根据煤气热值变化和其他工况变化需要及时调整空燃比，易造成煤气燃烧的不充分烟气中CO排放浓度高，并难以保证加热质量水平。智能燃烧系统通过测控系统，相关硬件软件设计，系统功能设计，煤气流量与炉温串级控制，热值补偿设计，残氧量优化控制，改善炉内燃烧条件，对煤气热值变化及负荷工况变化精确自动调整燃烧工况，保证热风炉燃烧室蓄热室及加热炉炉内各段温度符合设定要求，改善送风质量提高燃料燃烧效率降低CO排放。</w:t>
      </w:r>
    </w:p>
    <w:p w14:paraId="27581ECD">
      <w:pPr>
        <w:pStyle w:val="43"/>
        <w:ind w:firstLine="439" w:firstLineChars="182"/>
        <w:rPr>
          <w:rFonts w:eastAsia="宋体" w:cs="Times New Roman"/>
        </w:rPr>
      </w:pPr>
      <w:bookmarkStart w:id="30" w:name="_Toc185779049"/>
      <w:bookmarkStart w:id="31" w:name="_Toc185784324"/>
      <w:bookmarkStart w:id="32" w:name="_Toc185778985"/>
      <w:bookmarkStart w:id="33" w:name="_Toc217058292"/>
      <w:bookmarkStart w:id="34" w:name="_Toc185781614"/>
      <w:r>
        <w:rPr>
          <w:rFonts w:eastAsia="宋体" w:cs="Times New Roman"/>
        </w:rPr>
        <w:t>4.4.2 颗粒物治理技术</w:t>
      </w:r>
      <w:bookmarkEnd w:id="30"/>
      <w:bookmarkEnd w:id="31"/>
      <w:bookmarkEnd w:id="32"/>
      <w:bookmarkEnd w:id="33"/>
      <w:bookmarkEnd w:id="34"/>
    </w:p>
    <w:p w14:paraId="44C07E2A">
      <w:pPr>
        <w:pStyle w:val="13"/>
        <w:spacing w:line="360" w:lineRule="auto"/>
        <w:ind w:firstLine="480" w:firstLineChars="200"/>
        <w:rPr>
          <w:rFonts w:ascii="Times New Roman" w:hAnsi="Times New Roman"/>
        </w:rPr>
      </w:pPr>
      <w:r>
        <w:rPr>
          <w:rFonts w:ascii="Times New Roman" w:hAnsi="Times New Roman"/>
        </w:rPr>
        <w:t>（1）电除尘技术</w:t>
      </w:r>
    </w:p>
    <w:p w14:paraId="05B4FF74">
      <w:pPr>
        <w:pStyle w:val="13"/>
        <w:spacing w:line="360" w:lineRule="auto"/>
        <w:ind w:firstLine="480" w:firstLineChars="200"/>
        <w:jc w:val="both"/>
        <w:rPr>
          <w:rFonts w:ascii="Times New Roman" w:hAnsi="Times New Roman"/>
        </w:rPr>
      </w:pPr>
      <w:r>
        <w:rPr>
          <w:rFonts w:ascii="Times New Roman" w:hAnsi="Times New Roman"/>
        </w:rPr>
        <w:t>电除尘（静电除尘）技术是在电极上施加高电压后使气体电离，形成电子和离子，进入电场空间的烟尘与电子和离子相碰撞后荷电，在电场力的作用下向相反电极性的极板移动，并沉集在极板上的方法。然后通过振打等方式将沉积在极板上的灰尘清除落入灰斗，使含尘气体与粉尘在电场中实现分离。电除尘技术目前已较成熟，是净化颗粒物广泛应用的高效除尘技术之一。电除尘器除尘效率能达到99.9％以上，电除尘器对烟气温度波动适 应性较强，可以用于烧结工艺各工序的除尘。静电除尘器的电场风速常见≤1m/s，随着排放限值的不断加严，企业常用采用组合除尘技术，确保颗粒物排放浓度≤10mg/m</w:t>
      </w:r>
      <w:r>
        <w:rPr>
          <w:rFonts w:ascii="Times New Roman" w:hAnsi="Times New Roman"/>
          <w:vertAlign w:val="superscript"/>
        </w:rPr>
        <w:t>3</w:t>
      </w:r>
      <w:r>
        <w:rPr>
          <w:rFonts w:ascii="Times New Roman" w:hAnsi="Times New Roman"/>
        </w:rPr>
        <w:t>。</w:t>
      </w:r>
    </w:p>
    <w:p w14:paraId="3F4B07B1">
      <w:pPr>
        <w:pStyle w:val="13"/>
        <w:spacing w:line="360" w:lineRule="auto"/>
        <w:ind w:firstLine="480" w:firstLineChars="200"/>
        <w:jc w:val="both"/>
        <w:rPr>
          <w:rFonts w:ascii="Times New Roman" w:hAnsi="Times New Roman"/>
        </w:rPr>
      </w:pPr>
      <w:r>
        <w:rPr>
          <w:rFonts w:ascii="Times New Roman" w:hAnsi="Times New Roman"/>
        </w:rPr>
        <w:t>（2）袋式除尘技术</w:t>
      </w:r>
    </w:p>
    <w:p w14:paraId="63B63435">
      <w:pPr>
        <w:pStyle w:val="13"/>
        <w:spacing w:line="360" w:lineRule="auto"/>
        <w:ind w:firstLine="480" w:firstLineChars="200"/>
        <w:jc w:val="both"/>
        <w:rPr>
          <w:rFonts w:ascii="Times New Roman" w:hAnsi="Times New Roman"/>
        </w:rPr>
      </w:pPr>
      <w:r>
        <w:rPr>
          <w:rFonts w:ascii="Times New Roman" w:hAnsi="Times New Roman"/>
        </w:rPr>
        <w:t>袋式除尘技术是利用纤维织物的过滤作用对含尘气体进行过滤分离。袋式除尘器属高效除尘设备，广泛应用于粉尘的净化过程。袋式除尘器对粉尘比电阻变化适应性强，适用于温度和水分不高且波动不大的原料系统、烧结机尾、整粒和成品系统尘源点烟气的净化。滤袋有多种材质和规格型号，袋式除尘器的除尘效率可以达到99.99％以上，设计合理情况下，一般布袋除尘器过滤风速0.8m/min，可以确保颗粒物排放浓度≤10mg/m</w:t>
      </w:r>
      <w:r>
        <w:rPr>
          <w:rFonts w:ascii="Times New Roman" w:hAnsi="Times New Roman"/>
          <w:vertAlign w:val="superscript"/>
        </w:rPr>
        <w:t>3</w:t>
      </w:r>
      <w:r>
        <w:rPr>
          <w:rFonts w:ascii="Times New Roman" w:hAnsi="Times New Roman"/>
        </w:rPr>
        <w:t>。</w:t>
      </w:r>
    </w:p>
    <w:p w14:paraId="2C805009">
      <w:pPr>
        <w:pStyle w:val="13"/>
        <w:spacing w:line="360" w:lineRule="auto"/>
        <w:ind w:firstLine="480" w:firstLineChars="200"/>
        <w:jc w:val="both"/>
        <w:rPr>
          <w:rFonts w:ascii="Times New Roman" w:hAnsi="Times New Roman"/>
        </w:rPr>
      </w:pPr>
      <w:r>
        <w:rPr>
          <w:rFonts w:ascii="Times New Roman" w:hAnsi="Times New Roman"/>
        </w:rPr>
        <w:t>（3）电袋复合除尘技术</w:t>
      </w:r>
    </w:p>
    <w:p w14:paraId="420E5037">
      <w:pPr>
        <w:pStyle w:val="13"/>
        <w:spacing w:line="360" w:lineRule="auto"/>
        <w:ind w:firstLine="480" w:firstLineChars="200"/>
        <w:jc w:val="both"/>
        <w:rPr>
          <w:rFonts w:ascii="Times New Roman" w:hAnsi="Times New Roman" w:eastAsia="仿宋_GB2312"/>
          <w:bCs/>
          <w:sz w:val="28"/>
          <w:szCs w:val="28"/>
        </w:rPr>
      </w:pPr>
      <w:r>
        <w:rPr>
          <w:rFonts w:ascii="Times New Roman" w:hAnsi="Times New Roman"/>
        </w:rPr>
        <w:t>电袋复合式除尘技术是将静电除尘和袋式除尘有机结合的组合型除尘技术。常见的电袋复合式除尘器有两种结构。一种结构是除尘器前端设置电场，后端设置袋式除尘装置。前端电场的预除尘作用和荷电作用可减少后级袋式除尘器的过滤负荷，可预收烟气中70％-80％以上的粉尘量，同时由于前端的预荷电作用滤料上粉尘层变得疏松，细微粉尘凝聚成较大颗粒，可减少后端袋除尘器运行阻力，提高滤袋的清灰效果。另一种结构是电除尘器的电极与袋式除尘器的滤袋混合交叉布置，使电场荷电与滤袋收尘有机结合，强化荷电与过滤的结合，改善了布袋的运行条件，提高组合型除尘器的性能。电袋复合式除尘器适应性较强，净化效率高，烟气排放粉尘可控制在10mg/m</w:t>
      </w:r>
      <w:r>
        <w:rPr>
          <w:rFonts w:ascii="Times New Roman" w:hAnsi="Times New Roman"/>
          <w:vertAlign w:val="superscript"/>
        </w:rPr>
        <w:t>3</w:t>
      </w:r>
      <w:r>
        <w:rPr>
          <w:rFonts w:ascii="Times New Roman" w:hAnsi="Times New Roman"/>
        </w:rPr>
        <w:t>以内。</w:t>
      </w:r>
    </w:p>
    <w:p w14:paraId="01794585">
      <w:pPr>
        <w:pStyle w:val="43"/>
        <w:ind w:firstLine="439" w:firstLineChars="182"/>
        <w:jc w:val="both"/>
        <w:rPr>
          <w:rFonts w:eastAsia="宋体" w:cs="Times New Roman"/>
        </w:rPr>
      </w:pPr>
      <w:bookmarkStart w:id="35" w:name="_Toc185778986"/>
      <w:bookmarkStart w:id="36" w:name="_Toc185784325"/>
      <w:bookmarkStart w:id="37" w:name="_Toc185779050"/>
      <w:bookmarkStart w:id="38" w:name="_Toc185781615"/>
      <w:bookmarkStart w:id="39" w:name="_Toc217058293"/>
      <w:r>
        <w:rPr>
          <w:rFonts w:eastAsia="宋体" w:cs="Times New Roman"/>
        </w:rPr>
        <w:t>4.4.3 二氧化硫治理技术</w:t>
      </w:r>
      <w:bookmarkEnd w:id="35"/>
      <w:bookmarkEnd w:id="36"/>
      <w:bookmarkEnd w:id="37"/>
      <w:bookmarkEnd w:id="38"/>
      <w:bookmarkEnd w:id="39"/>
    </w:p>
    <w:p w14:paraId="2121037E">
      <w:pPr>
        <w:pStyle w:val="13"/>
        <w:spacing w:line="360" w:lineRule="auto"/>
        <w:ind w:firstLine="480" w:firstLineChars="200"/>
        <w:jc w:val="both"/>
        <w:rPr>
          <w:rFonts w:ascii="Times New Roman" w:hAnsi="Times New Roman"/>
        </w:rPr>
      </w:pPr>
      <w:r>
        <w:rPr>
          <w:rFonts w:ascii="Times New Roman" w:hAnsi="Times New Roman"/>
        </w:rPr>
        <w:t>（1）湿法脱硫技术</w:t>
      </w:r>
    </w:p>
    <w:p w14:paraId="0B9EA4C2">
      <w:pPr>
        <w:pStyle w:val="13"/>
        <w:spacing w:line="360" w:lineRule="auto"/>
        <w:ind w:firstLine="480" w:firstLineChars="200"/>
        <w:jc w:val="both"/>
        <w:rPr>
          <w:rFonts w:ascii="Times New Roman" w:hAnsi="Times New Roman"/>
        </w:rPr>
      </w:pPr>
      <w:r>
        <w:rPr>
          <w:rFonts w:ascii="Times New Roman" w:hAnsi="Times New Roman"/>
        </w:rPr>
        <w:t>湿法脱硫技术主要有石灰石/石灰-石膏法、氧化镁法、氨-硫铵法等。</w:t>
      </w:r>
    </w:p>
    <w:p w14:paraId="4B3EF2CD">
      <w:pPr>
        <w:pStyle w:val="13"/>
        <w:spacing w:line="360" w:lineRule="auto"/>
        <w:ind w:firstLine="480" w:firstLineChars="200"/>
        <w:jc w:val="both"/>
        <w:rPr>
          <w:rFonts w:ascii="Times New Roman" w:hAnsi="Times New Roman"/>
        </w:rPr>
      </w:pPr>
      <w:r>
        <w:rPr>
          <w:rFonts w:ascii="Times New Roman" w:hAnsi="Times New Roman"/>
        </w:rPr>
        <w:t>石灰石/石灰-石膏脱硫技术：利用石灰石或消石灰的乳浊液作为吸收剂吸收烟气中的二氧化硫。石灰石/石灰-石膏法脱硫副产物是石膏，可用作建材石膏或水泥添加剂等建筑辅料。石灰石/石灰-石膏法是目前应用最为广泛的脱硫技术，该技术成熟，工艺稳定，脱硫效率高，脱硫剂来源广泛、价格便宜。</w:t>
      </w:r>
    </w:p>
    <w:p w14:paraId="0B95A14B">
      <w:pPr>
        <w:pStyle w:val="13"/>
        <w:spacing w:line="360" w:lineRule="auto"/>
        <w:ind w:firstLine="480" w:firstLineChars="200"/>
        <w:jc w:val="both"/>
        <w:rPr>
          <w:rFonts w:ascii="Times New Roman" w:hAnsi="Times New Roman"/>
        </w:rPr>
      </w:pPr>
      <w:r>
        <w:rPr>
          <w:rFonts w:ascii="Times New Roman" w:hAnsi="Times New Roman"/>
        </w:rPr>
        <w:t>氧化镁脱硫技术：利用氧化镁或氢氧化镁作为脱硫剂吸收烟气中的二氧化硫。氧化镁脱硫副产物为亚硫酸镁和硫酸镁，因硫酸镁的溶解度较大，不易产生系统堵塞和结垢现象，主要用于氧化镁或氢氧化镁来源充足的地区。</w:t>
      </w:r>
    </w:p>
    <w:p w14:paraId="11C663D6">
      <w:pPr>
        <w:pStyle w:val="13"/>
        <w:spacing w:line="360" w:lineRule="auto"/>
        <w:ind w:firstLine="480" w:firstLineChars="200"/>
        <w:jc w:val="both"/>
        <w:rPr>
          <w:rFonts w:ascii="Times New Roman" w:hAnsi="Times New Roman"/>
        </w:rPr>
      </w:pPr>
      <w:r>
        <w:rPr>
          <w:rFonts w:ascii="Times New Roman" w:hAnsi="Times New Roman"/>
        </w:rPr>
        <w:t>氨-硫铵脱硫技术：利用氨水作为脱硫剂吸收烟气中的二氧化硫，脱硫副产物为硫酸铵。该工艺在我国烧结厂应用较早，技术成熟，工艺稳定，氨水可来自钢铁联合企业的焦化厂或化工厂。</w:t>
      </w:r>
    </w:p>
    <w:p w14:paraId="1E1DDFE6">
      <w:pPr>
        <w:pStyle w:val="13"/>
        <w:spacing w:line="360" w:lineRule="auto"/>
        <w:ind w:firstLine="480" w:firstLineChars="200"/>
        <w:jc w:val="both"/>
        <w:rPr>
          <w:rFonts w:ascii="Times New Roman" w:hAnsi="Times New Roman"/>
        </w:rPr>
      </w:pPr>
      <w:r>
        <w:rPr>
          <w:rFonts w:ascii="Times New Roman" w:hAnsi="Times New Roman"/>
        </w:rPr>
        <w:t>湿法脱硫技术成熟可靠，脱硫效率高，效率可达到95％以上，脱硫副产物易于处理和利用，脱硫剂廉价易得。但湿法脱硫技术存在一次性投资大、运行成本高，有废水产生，废水须处理达标后才能排放，脱硫系统存在磨损、堵塞、腐蚀、泄漏等问题。</w:t>
      </w:r>
    </w:p>
    <w:p w14:paraId="73243161">
      <w:pPr>
        <w:pStyle w:val="13"/>
        <w:spacing w:line="360" w:lineRule="auto"/>
        <w:ind w:firstLine="480" w:firstLineChars="200"/>
        <w:jc w:val="both"/>
        <w:rPr>
          <w:rFonts w:ascii="Times New Roman" w:hAnsi="Times New Roman"/>
        </w:rPr>
      </w:pPr>
      <w:r>
        <w:rPr>
          <w:rFonts w:ascii="Times New Roman" w:hAnsi="Times New Roman"/>
        </w:rPr>
        <w:t>（2）干（半干）法脱硫技术</w:t>
      </w:r>
    </w:p>
    <w:p w14:paraId="31482509">
      <w:pPr>
        <w:pStyle w:val="13"/>
        <w:spacing w:line="360" w:lineRule="auto"/>
        <w:ind w:firstLine="480" w:firstLineChars="200"/>
        <w:jc w:val="both"/>
        <w:rPr>
          <w:rFonts w:ascii="Times New Roman" w:hAnsi="Times New Roman"/>
        </w:rPr>
      </w:pPr>
      <w:r>
        <w:rPr>
          <w:rFonts w:ascii="Times New Roman" w:hAnsi="Times New Roman"/>
        </w:rPr>
        <w:t>干（半干）法脱硫技术包括循环流化床法（CFB）、喷雾干燥法（SDA）、密相干塔法、新型脱硫除尘 一体化技术（NID）、MEROS法、活性炭法（AC）等脱硫工艺技术。</w:t>
      </w:r>
    </w:p>
    <w:p w14:paraId="7302A0CA">
      <w:pPr>
        <w:pStyle w:val="13"/>
        <w:spacing w:line="360" w:lineRule="auto"/>
        <w:ind w:firstLine="480" w:firstLineChars="200"/>
        <w:jc w:val="both"/>
        <w:rPr>
          <w:rFonts w:ascii="Times New Roman" w:hAnsi="Times New Roman"/>
        </w:rPr>
      </w:pPr>
      <w:r>
        <w:rPr>
          <w:rFonts w:ascii="Times New Roman" w:hAnsi="Times New Roman"/>
        </w:rPr>
        <w:t>循环流化床脱硫技术：烧结烟气和脱硫剂消石灰从吸收塔底部进入，同时进行喷水降温，高速气流携带脱硫剂颗粒进入塔内，烟气与脱硫剂颗粒充分接触，进行脱硫反应，除去烟气中的二氧化硫气体。反应生成的亚硫酸钙、硫酸钙等颗粒物通过除尘器收集后，部分返回到吸收塔循环，充分利用未完全反应的脱硫剂。影响脱硫效率的因素主要包括钙硫比、喷水量、反应温度、停留时间等。</w:t>
      </w:r>
    </w:p>
    <w:p w14:paraId="191EB7C4">
      <w:pPr>
        <w:pStyle w:val="13"/>
        <w:spacing w:line="360" w:lineRule="auto"/>
        <w:ind w:firstLine="480" w:firstLineChars="200"/>
        <w:jc w:val="both"/>
        <w:rPr>
          <w:rFonts w:ascii="Times New Roman" w:hAnsi="Times New Roman"/>
        </w:rPr>
      </w:pPr>
      <w:r>
        <w:rPr>
          <w:rFonts w:ascii="Times New Roman" w:hAnsi="Times New Roman"/>
        </w:rPr>
        <w:t>喷雾干燥法脱硫技术：一般使用生石灰作为吸收剂，生石灰经过消化后制成熟石灰浆液。熟石灰浆液 通过泵输送至吸收塔顶部的雾化器，雾化器有旋转喷雾和双流体喷嘴雾化。热烟 气进入吸收塔后，立即与呈强碱性的吸收剂雾滴接触，烟气中的酸性成份（HC1、HF、SO</w:t>
      </w:r>
      <w:r>
        <w:rPr>
          <w:rFonts w:ascii="Times New Roman" w:hAnsi="Times New Roman"/>
          <w:vertAlign w:val="subscript"/>
        </w:rPr>
        <w:t>2</w:t>
      </w:r>
      <w:r>
        <w:rPr>
          <w:rFonts w:ascii="Times New Roman" w:hAnsi="Times New Roman"/>
        </w:rPr>
        <w:t>、SO</w:t>
      </w:r>
      <w:r>
        <w:rPr>
          <w:rFonts w:ascii="Times New Roman" w:hAnsi="Times New Roman"/>
          <w:vertAlign w:val="subscript"/>
        </w:rPr>
        <w:t>3</w:t>
      </w:r>
      <w:r>
        <w:rPr>
          <w:rFonts w:ascii="Times New Roman" w:hAnsi="Times New Roman"/>
        </w:rPr>
        <w:t>）被吸收中和，同时雾滴的水分被蒸发，反应生成的亚硫酸钙、硫酸钙等颗粒物通过除尘器收集后，部分返回到吸收塔循环，以充分利用未完全反应的脱硫剂。该工艺特点是脱硫剂为雾滴状，为二氧化硫的吸收反应提供了良好的条件。在干（半干）法脱硫技术中，喷雾干燥法的脱硫效率较高。</w:t>
      </w:r>
    </w:p>
    <w:p w14:paraId="0E9585EA">
      <w:pPr>
        <w:pStyle w:val="13"/>
        <w:spacing w:line="360" w:lineRule="auto"/>
        <w:ind w:firstLine="480" w:firstLineChars="200"/>
        <w:jc w:val="both"/>
        <w:rPr>
          <w:rFonts w:ascii="Times New Roman" w:hAnsi="Times New Roman"/>
        </w:rPr>
      </w:pPr>
      <w:r>
        <w:rPr>
          <w:rFonts w:ascii="Times New Roman" w:hAnsi="Times New Roman"/>
        </w:rPr>
        <w:t>密相干塔法脱硫技术：将干态熟石灰以及大量循环灰一起进入加湿器内进行加湿均化，使混合灰的水分含量保持在3％-5％之间，均化后的混合灰由密相干塔上部的布料器进入塔内，与塔上部进入的烟气发生反应，塔中设有搅拌器，脱硫剂颗粒在搅拌器的机械力作用下，不断裸露出新表面，使脱硫反应不断进行，最终脱硫产物由灰仓排出循环系统，送入废料仓。该工艺特点是脱硫剂在整个脱硫过程中都处于干燥状态，耗水量低，操作温度高于露点，没有冷凝现象。</w:t>
      </w:r>
    </w:p>
    <w:p w14:paraId="60D2A233">
      <w:pPr>
        <w:pStyle w:val="13"/>
        <w:spacing w:line="360" w:lineRule="auto"/>
        <w:ind w:firstLine="480" w:firstLineChars="200"/>
        <w:jc w:val="both"/>
        <w:rPr>
          <w:rFonts w:ascii="Times New Roman" w:hAnsi="Times New Roman"/>
        </w:rPr>
      </w:pPr>
      <w:r>
        <w:rPr>
          <w:rFonts w:ascii="Times New Roman" w:hAnsi="Times New Roman"/>
        </w:rPr>
        <w:t>钠基SDS／钙基活性超细粉ACA脱硫技术：以小苏打（NaHCO</w:t>
      </w:r>
      <w:r>
        <w:rPr>
          <w:rFonts w:ascii="Times New Roman" w:hAnsi="Times New Roman"/>
          <w:vertAlign w:val="subscript"/>
        </w:rPr>
        <w:t>3</w:t>
      </w:r>
      <w:r>
        <w:rPr>
          <w:rFonts w:ascii="Times New Roman" w:hAnsi="Times New Roman"/>
        </w:rPr>
        <w:t>）或者活性超细氢氧化钙粉为脱硫剂，在烟道上适当位置喷射干态脱硫剂，由于脱硫剂活性较高，喷入烟道后，能快速与二氧化硫等酸性气体进行反应，脱硫副产品为粉状副产品，由后续袋式除尘器收集。常见有烟道喷射固体脱硫剂方式以及固定床脱硫方式。</w:t>
      </w:r>
    </w:p>
    <w:p w14:paraId="33038759">
      <w:pPr>
        <w:pStyle w:val="13"/>
        <w:spacing w:line="360" w:lineRule="auto"/>
        <w:ind w:firstLine="480" w:firstLineChars="200"/>
        <w:jc w:val="both"/>
        <w:rPr>
          <w:rFonts w:ascii="Times New Roman" w:hAnsi="Times New Roman"/>
        </w:rPr>
      </w:pPr>
      <w:r>
        <w:rPr>
          <w:rFonts w:ascii="Times New Roman" w:hAnsi="Times New Roman"/>
        </w:rPr>
        <w:t>干（半干）技术工艺简单，无废水产生，占地少，一次投资较湿法工艺低。系统在高于酸露点温度下运行，常见排烟温度一般都在80℃以上，系统无须防腐蚀或防腐要求不高。能有效脱除三氧化硫、氟和氯等酸性物质。</w:t>
      </w:r>
    </w:p>
    <w:p w14:paraId="36D14644">
      <w:pPr>
        <w:pStyle w:val="43"/>
        <w:ind w:firstLine="439" w:firstLineChars="182"/>
        <w:jc w:val="both"/>
        <w:rPr>
          <w:rFonts w:eastAsia="宋体" w:cs="Times New Roman"/>
        </w:rPr>
      </w:pPr>
      <w:bookmarkStart w:id="40" w:name="_Toc185778987"/>
      <w:bookmarkStart w:id="41" w:name="_Toc185779051"/>
      <w:bookmarkStart w:id="42" w:name="_Toc217058294"/>
      <w:bookmarkStart w:id="43" w:name="_Toc185781616"/>
      <w:bookmarkStart w:id="44" w:name="_Toc185784326"/>
      <w:r>
        <w:rPr>
          <w:rFonts w:eastAsia="宋体" w:cs="Times New Roman"/>
        </w:rPr>
        <w:t>4.4.4 氮氧化物治理技术</w:t>
      </w:r>
      <w:bookmarkEnd w:id="40"/>
      <w:bookmarkEnd w:id="41"/>
      <w:bookmarkEnd w:id="42"/>
      <w:bookmarkEnd w:id="43"/>
      <w:bookmarkEnd w:id="44"/>
    </w:p>
    <w:p w14:paraId="6BD7D744">
      <w:pPr>
        <w:pStyle w:val="13"/>
        <w:spacing w:line="360" w:lineRule="auto"/>
        <w:ind w:firstLine="480" w:firstLineChars="200"/>
        <w:jc w:val="both"/>
        <w:rPr>
          <w:rFonts w:ascii="Times New Roman" w:hAnsi="Times New Roman"/>
        </w:rPr>
      </w:pPr>
      <w:r>
        <w:rPr>
          <w:rFonts w:ascii="Times New Roman" w:hAnsi="Times New Roman"/>
        </w:rPr>
        <w:t>氮氧化物的产生有两个主要来源，热力型氮氧化物和燃料型氮氧化物。不同工序的NOx产生类型不一，治理技术也是多样或组合治理。钢铁企业根据生产工序特点采取NOx燃烧过程工艺控制和末端烟气脱硝技术。燃烧过程控制措施可采用低NOx燃烧技术减少NOx的产生，烟气脱硝主要采用SCR、活性焦一体化脱硫脱硝技术，有效减少NOx的排放。</w:t>
      </w:r>
    </w:p>
    <w:p w14:paraId="1386F432">
      <w:pPr>
        <w:pStyle w:val="13"/>
        <w:spacing w:line="360" w:lineRule="auto"/>
        <w:ind w:firstLine="480" w:firstLineChars="200"/>
        <w:jc w:val="both"/>
        <w:rPr>
          <w:rFonts w:ascii="Times New Roman" w:hAnsi="Times New Roman"/>
        </w:rPr>
      </w:pPr>
      <w:r>
        <w:rPr>
          <w:rFonts w:ascii="Times New Roman" w:hAnsi="Times New Roman"/>
        </w:rPr>
        <w:t>SCR：SCR技术为钢铁行业最常见脱硝技术。SCR脱硝的催化剂对温度要求较高，目前市面上主要是高温催化剂，要求温度在300℃以上，其NOx脱除效率在70％～90％，烧结机机头烟气大烟道烟温通常为120℃左右，采用SCR脱硝的企业常采用补燃技术，提高烟气温度，满足催化剂反应需要，从而提高脱硝效率。目前，中低温催化剂也在钢铁、焦炉烟道气脱硝方面有实际应用，运行效果较好，NOx可以较为稳定低于50mg/m</w:t>
      </w:r>
      <w:r>
        <w:rPr>
          <w:rFonts w:ascii="Times New Roman" w:hAnsi="Times New Roman"/>
          <w:vertAlign w:val="superscript"/>
        </w:rPr>
        <w:t>3</w:t>
      </w:r>
      <w:r>
        <w:rPr>
          <w:rFonts w:ascii="Times New Roman" w:hAnsi="Times New Roman"/>
        </w:rPr>
        <w:t>。</w:t>
      </w:r>
    </w:p>
    <w:p w14:paraId="57D22E12">
      <w:pPr>
        <w:pStyle w:val="13"/>
        <w:spacing w:line="360" w:lineRule="auto"/>
        <w:ind w:firstLine="480" w:firstLineChars="200"/>
        <w:jc w:val="both"/>
        <w:rPr>
          <w:rFonts w:ascii="Times New Roman" w:hAnsi="Times New Roman"/>
        </w:rPr>
      </w:pPr>
      <w:r>
        <w:rPr>
          <w:rFonts w:ascii="Times New Roman" w:hAnsi="Times New Roman"/>
        </w:rPr>
        <w:t>活性炭/焦脱硫脱硝一体化技术：一种通过活性炭吸附、还原作用除去烟气中SO</w:t>
      </w:r>
      <w:r>
        <w:rPr>
          <w:rFonts w:ascii="Times New Roman" w:hAnsi="Times New Roman"/>
          <w:vertAlign w:val="subscript"/>
        </w:rPr>
        <w:t>2</w:t>
      </w:r>
      <w:r>
        <w:rPr>
          <w:rFonts w:ascii="Times New Roman" w:hAnsi="Times New Roman"/>
        </w:rPr>
        <w:t>、NOx、颗粒物、重金属等多组分污染物的烟气净化技术。</w:t>
      </w:r>
    </w:p>
    <w:p w14:paraId="7FB004B7">
      <w:pPr>
        <w:pStyle w:val="38"/>
        <w:spacing w:before="156"/>
        <w:jc w:val="both"/>
        <w:rPr>
          <w:rFonts w:eastAsia="宋体"/>
          <w:sz w:val="30"/>
          <w:szCs w:val="30"/>
        </w:rPr>
      </w:pPr>
      <w:bookmarkStart w:id="45" w:name="_Toc217058295"/>
      <w:r>
        <w:rPr>
          <w:rFonts w:eastAsia="宋体"/>
        </w:rPr>
        <w:t xml:space="preserve">5 </w:t>
      </w:r>
      <w:r>
        <w:rPr>
          <w:rFonts w:eastAsia="宋体"/>
          <w:b w:val="0"/>
          <w:sz w:val="30"/>
          <w:szCs w:val="30"/>
        </w:rPr>
        <w:t>标准主要技术内容</w:t>
      </w:r>
      <w:bookmarkEnd w:id="45"/>
    </w:p>
    <w:p w14:paraId="5C1AF3F0">
      <w:pPr>
        <w:pStyle w:val="37"/>
        <w:spacing w:before="156"/>
        <w:ind w:left="0"/>
        <w:jc w:val="both"/>
      </w:pPr>
      <w:bookmarkStart w:id="46" w:name="_Toc217058296"/>
      <w:r>
        <w:t xml:space="preserve">5.1 </w:t>
      </w:r>
      <w:r>
        <w:rPr>
          <w:szCs w:val="28"/>
        </w:rPr>
        <w:t>标准内容框架</w:t>
      </w:r>
      <w:bookmarkEnd w:id="46"/>
    </w:p>
    <w:p w14:paraId="7E3457C6">
      <w:pPr>
        <w:pStyle w:val="35"/>
        <w:jc w:val="both"/>
        <w:rPr>
          <w:rFonts w:cs="Times New Roman"/>
        </w:rPr>
      </w:pPr>
      <w:r>
        <w:rPr>
          <w:rFonts w:cs="Times New Roman"/>
        </w:rPr>
        <w:t>本标准包括范围、规范性引用文件、术语和定义、有组织排放控制要求、无组织排放控制要求、污染物监测要求、达标判定要求、实施与监督共8章。</w:t>
      </w:r>
    </w:p>
    <w:p w14:paraId="3081FEB0">
      <w:pPr>
        <w:pStyle w:val="35"/>
        <w:jc w:val="both"/>
        <w:rPr>
          <w:rFonts w:cs="Times New Roman"/>
        </w:rPr>
      </w:pPr>
      <w:bookmarkStart w:id="47" w:name="_Toc511380537"/>
      <w:r>
        <w:rPr>
          <w:rFonts w:cs="Times New Roman"/>
        </w:rPr>
        <w:t>排放控制要求是本标准的重点，主要技术内容包括有组织排放限值、无组织管控要求及限值。参照《超低意见》中提出的超低排放限值要求，以及国家钢铁系列标准已发布修改单限值及河北、山东、河南、山西等已发布地标基础上，结合上海宝钢股份近一个周期年度在线监测数据达标情况，加严了部分工序有组织排放限值，细化了无组织排放管控要求。结合企业实际情况，新增了达标判定要求部分工序豁免情形。</w:t>
      </w:r>
    </w:p>
    <w:p w14:paraId="768451FB">
      <w:pPr>
        <w:pStyle w:val="43"/>
        <w:ind w:firstLine="482"/>
        <w:jc w:val="both"/>
        <w:rPr>
          <w:rFonts w:eastAsia="宋体" w:cs="Times New Roman"/>
        </w:rPr>
      </w:pPr>
      <w:bookmarkStart w:id="48" w:name="_Toc185781619"/>
      <w:bookmarkStart w:id="49" w:name="_Toc217058297"/>
      <w:bookmarkStart w:id="50" w:name="_Toc185778990"/>
      <w:bookmarkStart w:id="51" w:name="_Toc185784329"/>
      <w:bookmarkStart w:id="52" w:name="_Toc185779054"/>
      <w:r>
        <w:rPr>
          <w:rFonts w:eastAsia="宋体" w:cs="Times New Roman"/>
        </w:rPr>
        <w:t>5.1.1标准适用范围</w:t>
      </w:r>
      <w:bookmarkEnd w:id="48"/>
      <w:bookmarkEnd w:id="49"/>
      <w:bookmarkEnd w:id="50"/>
      <w:bookmarkEnd w:id="51"/>
      <w:bookmarkEnd w:id="52"/>
    </w:p>
    <w:p w14:paraId="56E79B70">
      <w:pPr>
        <w:pStyle w:val="35"/>
        <w:jc w:val="both"/>
        <w:rPr>
          <w:rFonts w:cs="Times New Roman"/>
        </w:rPr>
      </w:pPr>
      <w:r>
        <w:rPr>
          <w:rFonts w:cs="Times New Roman"/>
        </w:rPr>
        <w:t>本文件规定了钢铁工业中炼焦、烧结、球团、炼铁、炼钢、轧钢等工序排放控制要求、监测、达标判定和监督管理要求。</w:t>
      </w:r>
    </w:p>
    <w:p w14:paraId="001A26CB">
      <w:pPr>
        <w:pStyle w:val="35"/>
        <w:jc w:val="both"/>
        <w:rPr>
          <w:rFonts w:cs="Times New Roman"/>
        </w:rPr>
      </w:pPr>
      <w:r>
        <w:rPr>
          <w:rFonts w:cs="Times New Roman"/>
        </w:rPr>
        <w:t>本文件适用于上海市辖区内现有钢铁工业企业及焦化工业企业大气污染物排放管理，以及建设项目的环境影响评价、环境保护设施设计、竣工环境保护验收、排污许可证核发及其投产后的大气污染物排放管理。</w:t>
      </w:r>
    </w:p>
    <w:p w14:paraId="45A944D0">
      <w:pPr>
        <w:pStyle w:val="43"/>
        <w:ind w:firstLine="482"/>
        <w:jc w:val="both"/>
        <w:rPr>
          <w:rFonts w:eastAsia="宋体" w:cs="Times New Roman"/>
        </w:rPr>
      </w:pPr>
      <w:bookmarkStart w:id="53" w:name="_Toc185784330"/>
      <w:bookmarkStart w:id="54" w:name="_Toc185779055"/>
      <w:bookmarkStart w:id="55" w:name="_Toc217058298"/>
      <w:bookmarkStart w:id="56" w:name="_Toc185781620"/>
      <w:bookmarkStart w:id="57" w:name="_Toc185778991"/>
      <w:r>
        <w:rPr>
          <w:rFonts w:eastAsia="宋体" w:cs="Times New Roman"/>
        </w:rPr>
        <w:t>5.1.2标准控制分类和控制因子的确定</w:t>
      </w:r>
      <w:bookmarkEnd w:id="53"/>
      <w:bookmarkEnd w:id="54"/>
      <w:bookmarkEnd w:id="55"/>
      <w:bookmarkEnd w:id="56"/>
      <w:bookmarkEnd w:id="57"/>
    </w:p>
    <w:p w14:paraId="2CD41299">
      <w:pPr>
        <w:pStyle w:val="35"/>
        <w:jc w:val="both"/>
        <w:rPr>
          <w:rFonts w:cs="Times New Roman"/>
        </w:rPr>
      </w:pPr>
      <w:r>
        <w:rPr>
          <w:rFonts w:cs="Times New Roman"/>
        </w:rPr>
        <w:t>污染控制分类主要分为有组织排放控制要求、无组织排放控制要求两大部分，其中有组织排放控制要求主要针对各主要排放口、一般排放口制定排放限值，无组织排放控制要求主要围绕无组织排放控制措施、无组织排放大气污染物浓度限值展开。</w:t>
      </w:r>
    </w:p>
    <w:p w14:paraId="08BD0B21">
      <w:pPr>
        <w:pStyle w:val="35"/>
        <w:jc w:val="both"/>
        <w:rPr>
          <w:rFonts w:cs="Times New Roman"/>
        </w:rPr>
      </w:pPr>
      <w:r>
        <w:rPr>
          <w:rFonts w:cs="Times New Roman"/>
        </w:rPr>
        <w:t>控制因子主要为颗粒物、氮氧化物、二氧化硫、氨、硫化氢、二噁英、氟化物、苯并[a]芘、硫酸雾、硝酸雾、油雾、氰化氢、酚类、苯可溶物、苯、甲苯、二甲苯、非甲烷总烃等排放因子。</w:t>
      </w:r>
    </w:p>
    <w:p w14:paraId="38D3D505">
      <w:pPr>
        <w:pStyle w:val="43"/>
        <w:ind w:firstLine="482"/>
        <w:jc w:val="both"/>
        <w:rPr>
          <w:rFonts w:eastAsia="宋体" w:cs="Times New Roman"/>
        </w:rPr>
      </w:pPr>
      <w:bookmarkStart w:id="58" w:name="_Toc185784331"/>
      <w:bookmarkStart w:id="59" w:name="_Toc185781621"/>
      <w:bookmarkStart w:id="60" w:name="_Toc217058299"/>
      <w:bookmarkStart w:id="61" w:name="_Toc185779056"/>
      <w:bookmarkStart w:id="62" w:name="_Toc185778992"/>
      <w:r>
        <w:rPr>
          <w:rFonts w:eastAsia="宋体" w:cs="Times New Roman"/>
        </w:rPr>
        <w:t>5.1.3标准执行时间与限值</w:t>
      </w:r>
      <w:bookmarkEnd w:id="47"/>
      <w:bookmarkEnd w:id="58"/>
      <w:bookmarkEnd w:id="59"/>
      <w:bookmarkEnd w:id="60"/>
      <w:bookmarkEnd w:id="61"/>
      <w:bookmarkEnd w:id="62"/>
    </w:p>
    <w:p w14:paraId="34623E06">
      <w:pPr>
        <w:pStyle w:val="35"/>
        <w:jc w:val="both"/>
        <w:rPr>
          <w:rFonts w:cs="Times New Roman"/>
        </w:rPr>
      </w:pPr>
      <w:r>
        <w:rPr>
          <w:rFonts w:cs="Times New Roman"/>
        </w:rPr>
        <w:t>2019年4月生态环境部等五部委联合发布《关于推进实施钢铁行业超低排放的意见》（环大气〔2019〕35号），要求到2020年底前，重点区域钢铁企业超低排放改造取得明显进展，力争60%左右产能完成改造。目前，宝钢股份已于2023年2月完成全流程超低排放公示。</w:t>
      </w:r>
    </w:p>
    <w:p w14:paraId="538B244A">
      <w:pPr>
        <w:pStyle w:val="35"/>
        <w:jc w:val="both"/>
        <w:rPr>
          <w:rFonts w:cs="Times New Roman"/>
        </w:rPr>
      </w:pPr>
      <w:r>
        <w:rPr>
          <w:rFonts w:hint="eastAsia" w:cs="Times New Roman"/>
        </w:rPr>
        <w:t>2</w:t>
      </w:r>
      <w:r>
        <w:rPr>
          <w:rFonts w:cs="Times New Roman"/>
        </w:rPr>
        <w:t>024</w:t>
      </w:r>
      <w:r>
        <w:rPr>
          <w:rFonts w:hint="eastAsia" w:cs="Times New Roman"/>
        </w:rPr>
        <w:t>年1月</w:t>
      </w:r>
      <w:r>
        <w:rPr>
          <w:rFonts w:cs="Times New Roman"/>
        </w:rPr>
        <w:t>生态环境部等</w:t>
      </w:r>
      <w:r>
        <w:rPr>
          <w:rFonts w:hint="eastAsia" w:cs="Times New Roman"/>
        </w:rPr>
        <w:t>五部委联合发布《关于推进实施焦化行业超低排放的意见》（环大气〔</w:t>
      </w:r>
      <w:r>
        <w:rPr>
          <w:rFonts w:cs="Times New Roman"/>
        </w:rPr>
        <w:t>2024〕5号</w:t>
      </w:r>
      <w:r>
        <w:rPr>
          <w:rFonts w:hint="eastAsia" w:cs="Times New Roman"/>
        </w:rPr>
        <w:t>），要求到</w:t>
      </w:r>
      <w:r>
        <w:rPr>
          <w:rFonts w:cs="Times New Roman"/>
        </w:rPr>
        <w:t>2025年底前，重点区域力争60%的焦化产能完成改造，</w:t>
      </w:r>
      <w:r>
        <w:rPr>
          <w:rFonts w:hint="eastAsia" w:cs="Times New Roman"/>
        </w:rPr>
        <w:t>到2</w:t>
      </w:r>
      <w:r>
        <w:rPr>
          <w:rFonts w:cs="Times New Roman"/>
        </w:rPr>
        <w:t>028</w:t>
      </w:r>
      <w:r>
        <w:rPr>
          <w:rFonts w:hint="eastAsia" w:cs="Times New Roman"/>
        </w:rPr>
        <w:t>年底前，重点区域焦化企业基本完成改造。目前宝钢股份和宝武碳业均已启动相关改造工作，按照《上海市焦化行业超低排放改造实施方案》要求计划于</w:t>
      </w:r>
      <w:r>
        <w:rPr>
          <w:rFonts w:cs="Times New Roman"/>
        </w:rPr>
        <w:t>2027年底全面完成焦化超低排</w:t>
      </w:r>
      <w:r>
        <w:rPr>
          <w:rFonts w:hint="eastAsia" w:cs="Times New Roman"/>
        </w:rPr>
        <w:t>放</w:t>
      </w:r>
      <w:r>
        <w:rPr>
          <w:rFonts w:cs="Times New Roman"/>
        </w:rPr>
        <w:t>改造任务</w:t>
      </w:r>
      <w:r>
        <w:rPr>
          <w:rFonts w:hint="eastAsia" w:cs="Times New Roman"/>
        </w:rPr>
        <w:t>。</w:t>
      </w:r>
    </w:p>
    <w:p w14:paraId="452E0458">
      <w:pPr>
        <w:pStyle w:val="35"/>
        <w:jc w:val="both"/>
        <w:rPr>
          <w:rFonts w:cs="Times New Roman"/>
        </w:rPr>
      </w:pPr>
      <w:r>
        <w:rPr>
          <w:rFonts w:cs="Times New Roman"/>
        </w:rPr>
        <w:t>根据以上文件，并结合上海市大气污染防治进程的实际情况，给予现有企业一定的整改过渡期，将新建企业和现有企业的执行时间分别定为自标准实施之日起与自20</w:t>
      </w:r>
      <w:r>
        <w:rPr>
          <w:rFonts w:hint="eastAsia" w:cs="Times New Roman"/>
          <w:lang w:val="en-US" w:eastAsia="zh-CN"/>
        </w:rPr>
        <w:t>28</w:t>
      </w:r>
      <w:r>
        <w:rPr>
          <w:rFonts w:hint="eastAsia" w:cs="Times New Roman"/>
        </w:rPr>
        <w:t>年</w:t>
      </w:r>
      <w:r>
        <w:rPr>
          <w:rFonts w:hint="eastAsia" w:cs="Times New Roman"/>
          <w:lang w:val="en-US" w:eastAsia="zh-CN"/>
        </w:rPr>
        <w:t>10</w:t>
      </w:r>
      <w:r>
        <w:rPr>
          <w:rFonts w:hint="eastAsia" w:cs="Times New Roman"/>
        </w:rPr>
        <w:t>月</w:t>
      </w:r>
      <w:r>
        <w:rPr>
          <w:rFonts w:hint="eastAsia" w:cs="Times New Roman"/>
          <w:lang w:val="en-US" w:eastAsia="zh-CN"/>
        </w:rPr>
        <w:t>1</w:t>
      </w:r>
      <w:r>
        <w:rPr>
          <w:rFonts w:hint="eastAsia" w:cs="Times New Roman"/>
        </w:rPr>
        <w:t>日</w:t>
      </w:r>
      <w:r>
        <w:rPr>
          <w:rFonts w:cs="Times New Roman"/>
        </w:rPr>
        <w:t>起执行标准规定的排放限值。</w:t>
      </w:r>
    </w:p>
    <w:p w14:paraId="23E77365">
      <w:pPr>
        <w:pStyle w:val="37"/>
        <w:spacing w:before="156"/>
        <w:ind w:left="0"/>
        <w:jc w:val="both"/>
      </w:pPr>
      <w:bookmarkStart w:id="63" w:name="_Toc217058300"/>
      <w:r>
        <w:t>5.2术语和定义</w:t>
      </w:r>
      <w:bookmarkEnd w:id="63"/>
    </w:p>
    <w:p w14:paraId="77E244F0">
      <w:pPr>
        <w:pStyle w:val="35"/>
        <w:jc w:val="both"/>
        <w:rPr>
          <w:rFonts w:cs="Times New Roman"/>
        </w:rPr>
      </w:pPr>
      <w:r>
        <w:rPr>
          <w:rFonts w:cs="Times New Roman"/>
        </w:rPr>
        <w:t>标准规定了炼焦、烧结、球团、炼铁、炼钢、轧钢、标准状态、现有企业、新建企业、无组织排放、密闭、封闭、</w:t>
      </w:r>
      <w:r>
        <w:rPr>
          <w:rFonts w:hint="eastAsia" w:cs="Times New Roman"/>
        </w:rPr>
        <w:t>VOC</w:t>
      </w:r>
      <w:r>
        <w:rPr>
          <w:rFonts w:cs="Times New Roman"/>
        </w:rPr>
        <w:t>s</w:t>
      </w:r>
      <w:r>
        <w:rPr>
          <w:rFonts w:hint="eastAsia" w:cs="Times New Roman"/>
        </w:rPr>
        <w:t>物料、</w:t>
      </w:r>
      <w:r>
        <w:rPr>
          <w:rFonts w:cs="Times New Roman"/>
        </w:rPr>
        <w:t>热处理炉、企业边界15个术语。</w:t>
      </w:r>
    </w:p>
    <w:p w14:paraId="77A876BD">
      <w:pPr>
        <w:pStyle w:val="35"/>
        <w:jc w:val="both"/>
        <w:rPr>
          <w:rFonts w:cs="Times New Roman"/>
        </w:rPr>
      </w:pPr>
      <w:r>
        <w:rPr>
          <w:rFonts w:cs="Times New Roman"/>
        </w:rPr>
        <w:t>炼焦是指炼焦煤按生产工艺和产品要求配比后，装入隔绝空气的密闭炼焦炉内，经高、中、低温干馏转化为焦炭、焦炉煤气和化学和产品的工艺过程。</w:t>
      </w:r>
    </w:p>
    <w:p w14:paraId="763EC165">
      <w:pPr>
        <w:pStyle w:val="35"/>
        <w:jc w:val="both"/>
        <w:rPr>
          <w:rFonts w:cs="Times New Roman"/>
        </w:rPr>
      </w:pPr>
      <w:r>
        <w:rPr>
          <w:rFonts w:cs="Times New Roman"/>
        </w:rPr>
        <w:t>烧结是指铁粉矿等含铁原料加入熔剂和固体燃料，按要求的比例配合，加水混合制粒后，平铺在烧结机台车上，经点火抽风，使其燃料燃烧，烧结料部分熔化粘结成块状的过程。</w:t>
      </w:r>
    </w:p>
    <w:p w14:paraId="4A2AD910">
      <w:pPr>
        <w:pStyle w:val="35"/>
        <w:jc w:val="both"/>
        <w:rPr>
          <w:rFonts w:cs="Times New Roman"/>
        </w:rPr>
      </w:pPr>
      <w:r>
        <w:rPr>
          <w:rFonts w:cs="Times New Roman"/>
        </w:rPr>
        <w:t>球团是指铁精矿等原料与适量的膨润土均匀混合后，通过造球机造出生球，然后高温焙烧，使球团氧化固结的过程。</w:t>
      </w:r>
    </w:p>
    <w:p w14:paraId="1535FB1A">
      <w:pPr>
        <w:pStyle w:val="35"/>
        <w:jc w:val="both"/>
        <w:rPr>
          <w:rFonts w:cs="Times New Roman"/>
        </w:rPr>
      </w:pPr>
      <w:r>
        <w:rPr>
          <w:rFonts w:cs="Times New Roman"/>
        </w:rPr>
        <w:t>炼铁是指采用高炉或直接熔融还原炉等，炉料经过加热、还原、熔化、造渣、渗碳、脱硫等一系列物理化学过程，最后生成液态炉渣和生铁的生产过程。</w:t>
      </w:r>
    </w:p>
    <w:p w14:paraId="52FE065C">
      <w:pPr>
        <w:pStyle w:val="35"/>
        <w:jc w:val="both"/>
        <w:rPr>
          <w:rFonts w:cs="Times New Roman"/>
        </w:rPr>
      </w:pPr>
      <w:r>
        <w:rPr>
          <w:rFonts w:cs="Times New Roman"/>
        </w:rPr>
        <w:t>炼钢是指将炉料（如铁水、废钢、海绵铁、铁合金等）熔化、升温、提纯，使之符合成分和纯净度要求的过程，涉及的生产工艺包括：铁水预处理、熔炼、炉外精炼（二次冶金）和浇铸（连铸）。</w:t>
      </w:r>
    </w:p>
    <w:p w14:paraId="2DE879B1">
      <w:pPr>
        <w:pStyle w:val="35"/>
        <w:jc w:val="both"/>
        <w:rPr>
          <w:rFonts w:cs="Times New Roman"/>
        </w:rPr>
      </w:pPr>
      <w:r>
        <w:rPr>
          <w:rFonts w:cs="Times New Roman"/>
        </w:rPr>
        <w:t>轧钢是指钢坯料经过加热通过热轧或将钢板通过冷轧制成所需要的成品钢材的过程，也包括在钢材表面涂镀金属或非金属的涂、镀层钢材的加工过程。</w:t>
      </w:r>
    </w:p>
    <w:p w14:paraId="7367589F">
      <w:pPr>
        <w:pStyle w:val="35"/>
        <w:jc w:val="both"/>
        <w:rPr>
          <w:rFonts w:cs="Times New Roman"/>
        </w:rPr>
      </w:pPr>
      <w:r>
        <w:rPr>
          <w:rFonts w:cs="Times New Roman"/>
        </w:rPr>
        <w:t>标准状态是指烟气在温度为273.15K，压力为101325Pa时的状态。本标准规定的大气污染物排放浓度均以标准状态下的干气体为基准。</w:t>
      </w:r>
    </w:p>
    <w:p w14:paraId="71FF5CB3">
      <w:pPr>
        <w:pStyle w:val="35"/>
        <w:jc w:val="both"/>
        <w:rPr>
          <w:rFonts w:cs="Times New Roman"/>
        </w:rPr>
      </w:pPr>
      <w:r>
        <w:rPr>
          <w:rFonts w:cs="Times New Roman"/>
        </w:rPr>
        <w:t>新建企业是指本文件实施之日起，环境影响评价文件通过审批的新建、改建、扩建的钢铁工业及</w:t>
      </w:r>
      <w:r>
        <w:rPr>
          <w:rFonts w:hint="eastAsia" w:cs="Times New Roman"/>
        </w:rPr>
        <w:t>炼焦</w:t>
      </w:r>
      <w:r>
        <w:rPr>
          <w:rFonts w:cs="Times New Roman"/>
        </w:rPr>
        <w:t>化学工业</w:t>
      </w:r>
      <w:r>
        <w:rPr>
          <w:rFonts w:hint="eastAsia" w:cs="Times New Roman"/>
        </w:rPr>
        <w:t>企业</w:t>
      </w:r>
      <w:r>
        <w:rPr>
          <w:rFonts w:cs="Times New Roman"/>
        </w:rPr>
        <w:t>或生产设施。</w:t>
      </w:r>
    </w:p>
    <w:p w14:paraId="6383BF53">
      <w:pPr>
        <w:pStyle w:val="35"/>
        <w:jc w:val="both"/>
        <w:rPr>
          <w:rFonts w:cs="Times New Roman"/>
        </w:rPr>
      </w:pPr>
      <w:r>
        <w:rPr>
          <w:rFonts w:cs="Times New Roman"/>
        </w:rPr>
        <w:t>现有企业是指本文件实施之日前，已建成投产或环境影响评价文件已通过审批的钢铁工业及</w:t>
      </w:r>
      <w:r>
        <w:rPr>
          <w:rFonts w:hint="eastAsia" w:cs="Times New Roman"/>
        </w:rPr>
        <w:t>炼焦</w:t>
      </w:r>
      <w:r>
        <w:rPr>
          <w:rFonts w:cs="Times New Roman"/>
        </w:rPr>
        <w:t>化学工业</w:t>
      </w:r>
      <w:r>
        <w:rPr>
          <w:rFonts w:hint="eastAsia" w:cs="Times New Roman"/>
        </w:rPr>
        <w:t>企业</w:t>
      </w:r>
      <w:r>
        <w:rPr>
          <w:rFonts w:cs="Times New Roman"/>
        </w:rPr>
        <w:t>或生产设施。</w:t>
      </w:r>
    </w:p>
    <w:p w14:paraId="54C7AAFC">
      <w:pPr>
        <w:pStyle w:val="35"/>
        <w:jc w:val="both"/>
        <w:rPr>
          <w:rFonts w:cs="Times New Roman"/>
        </w:rPr>
      </w:pPr>
      <w:r>
        <w:rPr>
          <w:rFonts w:cs="Times New Roman"/>
        </w:rPr>
        <w:t>无组织排放是指大气污染物不经过排气筒的无规则排放，主要包括作业场所物料堆存、开放式输送扬尘，通过缝隙、通风口、敞开门窗和类似开口（孔）的排放，以及设备、管线等大气污染物泄漏。</w:t>
      </w:r>
    </w:p>
    <w:p w14:paraId="5D3F523B">
      <w:pPr>
        <w:pStyle w:val="35"/>
        <w:jc w:val="both"/>
        <w:rPr>
          <w:rFonts w:cs="Times New Roman"/>
        </w:rPr>
      </w:pPr>
      <w:r>
        <w:rPr>
          <w:rFonts w:cs="Times New Roman"/>
        </w:rPr>
        <w:t>密闭是指物料不与环境空气接触，或通过密封材料、密封设备与环境空气隔离的状态或作业方式。</w:t>
      </w:r>
    </w:p>
    <w:p w14:paraId="74DAF270">
      <w:pPr>
        <w:pStyle w:val="35"/>
        <w:jc w:val="both"/>
        <w:rPr>
          <w:rFonts w:cs="Times New Roman"/>
        </w:rPr>
      </w:pPr>
      <w:r>
        <w:rPr>
          <w:rFonts w:cs="Times New Roman"/>
        </w:rPr>
        <w:t>封闭是指利用完整的围护结构将物料、作业场所等与周围空间阻隔的状态或作业方式。</w:t>
      </w:r>
      <w:r>
        <w:rPr>
          <w:rFonts w:hint="eastAsia" w:cs="Times New Roman"/>
        </w:rPr>
        <w:t>在保证安全前提下可以封闭的区域或建筑物，该封闭区域或封闭建筑除人员、车辆、设备、物料进出时，以及依法设立的排气筒、通风口外，门窗及其他开口（孔）部位应随时保持关闭状态。</w:t>
      </w:r>
    </w:p>
    <w:p w14:paraId="69367FD8">
      <w:pPr>
        <w:pStyle w:val="35"/>
        <w:jc w:val="both"/>
        <w:rPr>
          <w:rFonts w:cs="Times New Roman"/>
        </w:rPr>
      </w:pPr>
      <w:r>
        <w:rPr>
          <w:rFonts w:hint="eastAsia" w:cs="Times New Roman"/>
        </w:rPr>
        <w:t>VOC</w:t>
      </w:r>
      <w:r>
        <w:rPr>
          <w:rFonts w:cs="Times New Roman"/>
        </w:rPr>
        <w:t>s</w:t>
      </w:r>
      <w:r>
        <w:rPr>
          <w:rFonts w:hint="eastAsia" w:cs="Times New Roman"/>
        </w:rPr>
        <w:t>物料是指</w:t>
      </w:r>
      <w:r>
        <w:rPr>
          <w:rFonts w:cs="Times New Roman"/>
        </w:rPr>
        <w:t>VOCs质量占比大于等于10%的原辅材料、产品和废料（渣、液），以及有机聚合物原辅材料和废料（渣、液）。</w:t>
      </w:r>
    </w:p>
    <w:p w14:paraId="7BAE64B4">
      <w:pPr>
        <w:pStyle w:val="35"/>
        <w:jc w:val="both"/>
        <w:rPr>
          <w:rFonts w:cs="Times New Roman"/>
        </w:rPr>
      </w:pPr>
      <w:r>
        <w:rPr>
          <w:rFonts w:cs="Times New Roman"/>
        </w:rPr>
        <w:t>热处理炉是指将钢铁材料加热到轧制温度，或放在特定气氛中加热至工艺温度并通过不同的保温、冷却方式来改变表面或内部组织结构性能的热工设备，包括加热炉，以及退火炉、淬火炉、正火炉、回火炉、固溶炉、时效炉、调质炉等其他热处理炉。</w:t>
      </w:r>
    </w:p>
    <w:p w14:paraId="3DFBC0DD">
      <w:pPr>
        <w:pStyle w:val="35"/>
        <w:jc w:val="both"/>
        <w:rPr>
          <w:rFonts w:cs="Times New Roman"/>
        </w:rPr>
      </w:pPr>
      <w:r>
        <w:rPr>
          <w:rFonts w:cs="Times New Roman"/>
        </w:rPr>
        <w:t>企业边界是指企业或生产设施的法定边界。难以确定法定边界的，指企业或生产设施的实际占地边界。</w:t>
      </w:r>
    </w:p>
    <w:p w14:paraId="71A0F763">
      <w:pPr>
        <w:pStyle w:val="37"/>
        <w:spacing w:before="156"/>
        <w:ind w:left="0"/>
        <w:jc w:val="both"/>
      </w:pPr>
      <w:bookmarkStart w:id="64" w:name="_Toc217058301"/>
      <w:r>
        <w:t>5.2 有组织标准限值的确定</w:t>
      </w:r>
      <w:bookmarkEnd w:id="64"/>
    </w:p>
    <w:p w14:paraId="04B8F476">
      <w:pPr>
        <w:pStyle w:val="43"/>
        <w:ind w:firstLine="482"/>
        <w:jc w:val="both"/>
        <w:rPr>
          <w:rFonts w:eastAsia="宋体" w:cs="Times New Roman"/>
        </w:rPr>
      </w:pPr>
      <w:bookmarkStart w:id="65" w:name="_Toc185778995"/>
      <w:bookmarkStart w:id="66" w:name="_Toc511380539"/>
      <w:bookmarkStart w:id="67" w:name="_Toc185781624"/>
      <w:bookmarkStart w:id="68" w:name="_Toc185779059"/>
      <w:bookmarkStart w:id="69" w:name="_Toc217058302"/>
      <w:bookmarkStart w:id="70" w:name="_Toc185784334"/>
      <w:r>
        <w:rPr>
          <w:rFonts w:eastAsia="宋体" w:cs="Times New Roman"/>
        </w:rPr>
        <w:t>5.2.1 颗粒物</w:t>
      </w:r>
      <w:bookmarkEnd w:id="65"/>
      <w:bookmarkEnd w:id="66"/>
      <w:bookmarkEnd w:id="67"/>
      <w:bookmarkEnd w:id="68"/>
      <w:bookmarkEnd w:id="69"/>
      <w:bookmarkEnd w:id="70"/>
    </w:p>
    <w:p w14:paraId="4A82F027">
      <w:pPr>
        <w:pStyle w:val="35"/>
        <w:jc w:val="both"/>
        <w:rPr>
          <w:rFonts w:cs="Times New Roman"/>
        </w:rPr>
      </w:pPr>
      <w:r>
        <w:rPr>
          <w:rFonts w:cs="Times New Roman"/>
        </w:rPr>
        <w:t>（1）燃烧类烟气</w:t>
      </w:r>
    </w:p>
    <w:p w14:paraId="20300122">
      <w:pPr>
        <w:pStyle w:val="35"/>
        <w:jc w:val="both"/>
        <w:rPr>
          <w:rFonts w:cs="Times New Roman"/>
        </w:rPr>
      </w:pPr>
      <w:r>
        <w:rPr>
          <w:rFonts w:hint="eastAsia" w:ascii="宋体" w:hAnsi="宋体"/>
        </w:rPr>
        <w:t>①</w:t>
      </w:r>
      <w:r>
        <w:rPr>
          <w:rFonts w:cs="Times New Roman"/>
        </w:rPr>
        <w:t>烧结（球团）工序</w:t>
      </w:r>
    </w:p>
    <w:p w14:paraId="05AC13EB">
      <w:pPr>
        <w:pStyle w:val="35"/>
        <w:jc w:val="both"/>
        <w:rPr>
          <w:rFonts w:cs="Times New Roman"/>
        </w:rPr>
      </w:pPr>
      <w:r>
        <w:rPr>
          <w:rFonts w:cs="Times New Roman"/>
        </w:rPr>
        <w:t>宝钢股份2023年10月～2024年9月烧结机头烟气颗粒物在线监测数据统计结果如下：</w:t>
      </w:r>
    </w:p>
    <w:p w14:paraId="34A4D44F">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表5-1  烧结机头烟气颗粒物在线监测数据达标情况一览表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65"/>
        <w:gridCol w:w="728"/>
        <w:gridCol w:w="728"/>
        <w:gridCol w:w="1165"/>
        <w:gridCol w:w="1001"/>
        <w:gridCol w:w="585"/>
        <w:gridCol w:w="726"/>
        <w:gridCol w:w="726"/>
        <w:gridCol w:w="975"/>
      </w:tblGrid>
      <w:tr w14:paraId="76A8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14:paraId="5FEBCF7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w:t>
            </w:r>
          </w:p>
          <w:p w14:paraId="4B244B5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排放源</w:t>
            </w:r>
          </w:p>
        </w:tc>
        <w:tc>
          <w:tcPr>
            <w:tcW w:w="1134" w:type="dxa"/>
            <w:shd w:val="clear" w:color="auto" w:fill="auto"/>
            <w:vAlign w:val="center"/>
          </w:tcPr>
          <w:p w14:paraId="1DE382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709" w:type="dxa"/>
            <w:shd w:val="clear" w:color="auto" w:fill="auto"/>
            <w:vAlign w:val="center"/>
          </w:tcPr>
          <w:p w14:paraId="25B2001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709" w:type="dxa"/>
            <w:shd w:val="clear" w:color="auto" w:fill="auto"/>
            <w:vAlign w:val="center"/>
          </w:tcPr>
          <w:p w14:paraId="6DBDB6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3E7CB4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1134" w:type="dxa"/>
            <w:shd w:val="clear" w:color="auto" w:fill="auto"/>
            <w:vAlign w:val="center"/>
          </w:tcPr>
          <w:p w14:paraId="575F99D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74" w:type="dxa"/>
            <w:shd w:val="clear" w:color="auto" w:fill="auto"/>
            <w:vAlign w:val="center"/>
          </w:tcPr>
          <w:p w14:paraId="4072CE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95%时间段最大值（mg/m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569" w:type="dxa"/>
            <w:shd w:val="clear" w:color="auto" w:fill="auto"/>
            <w:vAlign w:val="center"/>
          </w:tcPr>
          <w:p w14:paraId="67D537B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70EE64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19F5984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707" w:type="dxa"/>
            <w:shd w:val="clear" w:color="auto" w:fill="auto"/>
            <w:vAlign w:val="center"/>
          </w:tcPr>
          <w:p w14:paraId="2AB25C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07" w:type="dxa"/>
            <w:shd w:val="clear" w:color="auto" w:fill="auto"/>
            <w:vAlign w:val="center"/>
          </w:tcPr>
          <w:p w14:paraId="22F0F9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522B36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949" w:type="dxa"/>
            <w:shd w:val="clear" w:color="auto" w:fill="auto"/>
            <w:vAlign w:val="center"/>
          </w:tcPr>
          <w:p w14:paraId="5A0C95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564F5E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720C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04" w:type="dxa"/>
            <w:shd w:val="clear" w:color="auto" w:fill="auto"/>
            <w:vAlign w:val="center"/>
          </w:tcPr>
          <w:p w14:paraId="7FB8B8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烧结机头烟气</w:t>
            </w:r>
          </w:p>
        </w:tc>
        <w:tc>
          <w:tcPr>
            <w:tcW w:w="1134" w:type="dxa"/>
            <w:shd w:val="clear" w:color="auto" w:fill="auto"/>
            <w:vAlign w:val="center"/>
          </w:tcPr>
          <w:p w14:paraId="5B48FF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四电场静电除尘器+协同处置装置-活性炭（焦）法/循环流化床+SCR脱硝</w:t>
            </w:r>
          </w:p>
        </w:tc>
        <w:tc>
          <w:tcPr>
            <w:tcW w:w="709" w:type="dxa"/>
            <w:shd w:val="clear" w:color="auto" w:fill="auto"/>
            <w:vAlign w:val="center"/>
          </w:tcPr>
          <w:p w14:paraId="02203C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709" w:type="dxa"/>
            <w:shd w:val="clear" w:color="auto" w:fill="auto"/>
            <w:vAlign w:val="center"/>
          </w:tcPr>
          <w:p w14:paraId="7C8879F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33286</w:t>
            </w:r>
          </w:p>
        </w:tc>
        <w:tc>
          <w:tcPr>
            <w:tcW w:w="1134" w:type="dxa"/>
            <w:shd w:val="clear" w:color="auto" w:fill="auto"/>
            <w:vAlign w:val="center"/>
          </w:tcPr>
          <w:p w14:paraId="2BF8F28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1862</w:t>
            </w:r>
          </w:p>
        </w:tc>
        <w:tc>
          <w:tcPr>
            <w:tcW w:w="974" w:type="dxa"/>
            <w:shd w:val="clear" w:color="auto" w:fill="auto"/>
            <w:vAlign w:val="center"/>
          </w:tcPr>
          <w:p w14:paraId="1B0A6F4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4.19</w:t>
            </w:r>
          </w:p>
        </w:tc>
        <w:tc>
          <w:tcPr>
            <w:tcW w:w="569" w:type="dxa"/>
            <w:shd w:val="clear" w:color="auto" w:fill="auto"/>
            <w:vAlign w:val="center"/>
          </w:tcPr>
          <w:p w14:paraId="0DA88D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707" w:type="dxa"/>
            <w:shd w:val="clear" w:color="auto" w:fill="auto"/>
            <w:vAlign w:val="center"/>
          </w:tcPr>
          <w:p w14:paraId="1FDAB1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97.65</w:t>
            </w:r>
          </w:p>
        </w:tc>
        <w:tc>
          <w:tcPr>
            <w:tcW w:w="707" w:type="dxa"/>
            <w:shd w:val="clear" w:color="auto" w:fill="auto"/>
            <w:vAlign w:val="center"/>
          </w:tcPr>
          <w:p w14:paraId="5262A34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781</w:t>
            </w:r>
          </w:p>
        </w:tc>
        <w:tc>
          <w:tcPr>
            <w:tcW w:w="949" w:type="dxa"/>
            <w:shd w:val="clear" w:color="auto" w:fill="auto"/>
            <w:vAlign w:val="center"/>
          </w:tcPr>
          <w:p w14:paraId="14CAB10E">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1、开、停机阶段氧含量异常；</w:t>
            </w:r>
          </w:p>
          <w:p w14:paraId="1DFC5F63">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2、工况波动；</w:t>
            </w:r>
          </w:p>
          <w:p w14:paraId="7CAD1EBF">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3、治理设施故障</w:t>
            </w:r>
          </w:p>
        </w:tc>
      </w:tr>
    </w:tbl>
    <w:p w14:paraId="38ED4EC8">
      <w:pPr>
        <w:ind w:firstLine="640"/>
        <w:rPr>
          <w:rFonts w:ascii="Times New Roman" w:hAnsi="Times New Roman" w:eastAsia="仿宋_GB2312" w:cs="Times New Roman"/>
          <w:bCs/>
          <w:sz w:val="28"/>
          <w:szCs w:val="28"/>
        </w:rPr>
      </w:pPr>
      <w:r>
        <w:rPr>
          <w:rFonts w:ascii="Times New Roman" w:hAnsi="Times New Roman" w:cs="Times New Roman"/>
        </w:rPr>
        <w:t xml:space="preserve"> </w:t>
      </w:r>
      <w:r>
        <w:rPr>
          <w:rFonts w:ascii="Times New Roman" w:hAnsi="Times New Roman" w:cs="Times New Roman"/>
        </w:rPr>
        <w:drawing>
          <wp:inline distT="0" distB="0" distL="0" distR="0">
            <wp:extent cx="4587240" cy="2575560"/>
            <wp:effectExtent l="19050" t="19050" r="22860" b="15240"/>
            <wp:docPr id="1785150354" name="图片 6"/>
            <wp:cNvGraphicFramePr/>
            <a:graphic xmlns:a="http://schemas.openxmlformats.org/drawingml/2006/main">
              <a:graphicData uri="http://schemas.openxmlformats.org/drawingml/2006/picture">
                <pic:pic xmlns:pic="http://schemas.openxmlformats.org/drawingml/2006/picture">
                  <pic:nvPicPr>
                    <pic:cNvPr id="1785150354" name="图片 6"/>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87240" cy="2575560"/>
                    </a:xfrm>
                    <a:prstGeom prst="rect">
                      <a:avLst/>
                    </a:prstGeom>
                    <a:noFill/>
                    <a:ln w="6350" cmpd="sng">
                      <a:solidFill>
                        <a:srgbClr val="000000"/>
                      </a:solidFill>
                      <a:miter lim="800000"/>
                      <a:headEnd/>
                      <a:tailEnd/>
                    </a:ln>
                    <a:effectLst/>
                  </pic:spPr>
                </pic:pic>
              </a:graphicData>
            </a:graphic>
          </wp:inline>
        </w:drawing>
      </w:r>
    </w:p>
    <w:p w14:paraId="4B6E27E7">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图5-1  烧结机头烟气排放口颗粒物周期年历史数据图</w:t>
      </w:r>
    </w:p>
    <w:p w14:paraId="3F18EA47">
      <w:pPr>
        <w:pStyle w:val="35"/>
        <w:jc w:val="both"/>
        <w:rPr>
          <w:rFonts w:cs="Times New Roman"/>
        </w:rPr>
      </w:pPr>
      <w:r>
        <w:rPr>
          <w:rFonts w:cs="Times New Roman"/>
        </w:rPr>
        <w:t>结合宝钢股份在线排放数据可知，当前企业烧结机头烟气中颗粒物的去除主要是通过现有静电预除尘后，经由活性焦一体化装置、半干法脱硫后串接袋式除尘器的形式予以捕集，整体达标率为97.65%，超标主要</w:t>
      </w:r>
      <w:r>
        <w:rPr>
          <w:rFonts w:hint="eastAsia" w:cs="Times New Roman"/>
        </w:rPr>
        <w:t>原因是</w:t>
      </w:r>
      <w:r>
        <w:rPr>
          <w:rFonts w:cs="Times New Roman"/>
        </w:rPr>
        <w:t>开</w:t>
      </w:r>
      <w:r>
        <w:rPr>
          <w:rFonts w:hint="eastAsia" w:cs="Times New Roman"/>
        </w:rPr>
        <w:t>、</w:t>
      </w:r>
      <w:r>
        <w:rPr>
          <w:rFonts w:cs="Times New Roman"/>
        </w:rPr>
        <w:t>停机阶段氧含量异常，折算造成的超标</w:t>
      </w:r>
      <w:r>
        <w:rPr>
          <w:rFonts w:hint="eastAsia" w:cs="Times New Roman"/>
        </w:rPr>
        <w:t>约</w:t>
      </w:r>
      <w:r>
        <w:rPr>
          <w:rFonts w:cs="Times New Roman"/>
        </w:rPr>
        <w:t>占88%，其余为工况波动、设施故障等因素。具备达到本标准中设定的10mg/Nm</w:t>
      </w:r>
      <w:r>
        <w:rPr>
          <w:rFonts w:cs="Times New Roman"/>
          <w:vertAlign w:val="superscript"/>
        </w:rPr>
        <w:t>3</w:t>
      </w:r>
      <w:r>
        <w:rPr>
          <w:rFonts w:cs="Times New Roman"/>
        </w:rPr>
        <w:t>的超低限值要求，本标准确定的限值与国家超低排放限值要求、已发布的其他省份地方标准限值一致。</w:t>
      </w:r>
    </w:p>
    <w:p w14:paraId="5B935883">
      <w:pPr>
        <w:pStyle w:val="35"/>
        <w:jc w:val="both"/>
        <w:rPr>
          <w:rFonts w:cs="Times New Roman"/>
        </w:rPr>
      </w:pPr>
      <w:r>
        <w:rPr>
          <w:rFonts w:cs="Times New Roman"/>
        </w:rPr>
        <w:t>需要关注的问题主要集中在采用活性焦一体化工艺的企业，尤其需关注静电预除尘效果，虽然静电除尘在新投运或大修后可满足颗粒物排放浓度达到50mg/Nm</w:t>
      </w:r>
      <w:r>
        <w:rPr>
          <w:rFonts w:cs="Times New Roman"/>
          <w:vertAlign w:val="superscript"/>
        </w:rPr>
        <w:t>3</w:t>
      </w:r>
      <w:r>
        <w:rPr>
          <w:rFonts w:cs="Times New Roman"/>
        </w:rPr>
        <w:t>以下的限值要求，但随着设备持续高负荷运行，维检不到位等管理缺失问题，导致高比电阻烟尘捕集效率大幅下降。因此，对于当前错流或逆流式活性焦工艺中大都未设置单独的袋式除尘装置时，由于静电预除尘效率降低和自身活性焦粉过筛效果不佳等原因导致的颗粒物外排浓度超过10mg/Nm</w:t>
      </w:r>
      <w:r>
        <w:rPr>
          <w:rFonts w:cs="Times New Roman"/>
          <w:vertAlign w:val="superscript"/>
        </w:rPr>
        <w:t>3</w:t>
      </w:r>
      <w:r>
        <w:rPr>
          <w:rFonts w:cs="Times New Roman"/>
        </w:rPr>
        <w:t>时，应考虑设置单独的袋式除尘器，满足稳定达标排放的要求。</w:t>
      </w:r>
    </w:p>
    <w:p w14:paraId="62C98AB3">
      <w:pPr>
        <w:pStyle w:val="35"/>
        <w:jc w:val="both"/>
        <w:rPr>
          <w:rFonts w:cs="Times New Roman"/>
        </w:rPr>
      </w:pPr>
      <w:r>
        <w:rPr>
          <w:rFonts w:hint="eastAsia" w:ascii="宋体" w:hAnsi="宋体"/>
        </w:rPr>
        <w:t>②</w:t>
      </w:r>
      <w:r>
        <w:rPr>
          <w:rFonts w:cs="Times New Roman"/>
        </w:rPr>
        <w:t>焦化工序</w:t>
      </w:r>
    </w:p>
    <w:p w14:paraId="0FC747FB">
      <w:pPr>
        <w:pStyle w:val="35"/>
        <w:jc w:val="both"/>
        <w:rPr>
          <w:rFonts w:cs="Times New Roman"/>
        </w:rPr>
      </w:pPr>
      <w:r>
        <w:rPr>
          <w:rFonts w:cs="Times New Roman"/>
        </w:rPr>
        <w:t>宝钢股份2023年10月～2024年9月焦炉烟气颗粒物在线监测数据统计结果如下：</w:t>
      </w:r>
    </w:p>
    <w:p w14:paraId="54FD8BEE">
      <w:pPr>
        <w:rPr>
          <w:rFonts w:ascii="Times New Roman" w:hAnsi="Times New Roman" w:cs="Times New Roman"/>
          <w:b/>
          <w:bCs/>
          <w:color w:val="000000"/>
          <w:szCs w:val="32"/>
        </w:rPr>
      </w:pPr>
    </w:p>
    <w:p w14:paraId="7C3F716E">
      <w:pPr>
        <w:rPr>
          <w:rFonts w:ascii="Times New Roman" w:hAnsi="Times New Roman" w:cs="Times New Roman"/>
          <w:b/>
          <w:bCs/>
          <w:color w:val="000000"/>
          <w:szCs w:val="32"/>
        </w:rPr>
      </w:pPr>
      <w:r>
        <w:rPr>
          <w:rFonts w:ascii="Times New Roman" w:hAnsi="Times New Roman" w:cs="Times New Roman"/>
          <w:b/>
          <w:bCs/>
          <w:color w:val="000000"/>
          <w:szCs w:val="32"/>
        </w:rPr>
        <w:br w:type="page"/>
      </w:r>
    </w:p>
    <w:p w14:paraId="2E4A01DF">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表5-2-1  焦炉烟气颗粒物在线监测数据达标情况一览表</w:t>
      </w:r>
    </w:p>
    <w:tbl>
      <w:tblPr>
        <w:tblStyle w:val="27"/>
        <w:tblW w:w="47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457"/>
        <w:gridCol w:w="737"/>
        <w:gridCol w:w="573"/>
        <w:gridCol w:w="968"/>
        <w:gridCol w:w="899"/>
        <w:gridCol w:w="654"/>
        <w:gridCol w:w="654"/>
        <w:gridCol w:w="743"/>
        <w:gridCol w:w="743"/>
      </w:tblGrid>
      <w:tr w14:paraId="7EDF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14:paraId="34300C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有组织排放源</w:t>
            </w:r>
          </w:p>
        </w:tc>
        <w:tc>
          <w:tcPr>
            <w:tcW w:w="1418" w:type="dxa"/>
            <w:shd w:val="clear" w:color="auto" w:fill="auto"/>
            <w:vAlign w:val="center"/>
          </w:tcPr>
          <w:p w14:paraId="0E35BD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717" w:type="dxa"/>
            <w:shd w:val="clear" w:color="auto" w:fill="auto"/>
            <w:vAlign w:val="center"/>
          </w:tcPr>
          <w:p w14:paraId="64A8EA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558" w:type="dxa"/>
            <w:shd w:val="clear" w:color="auto" w:fill="auto"/>
            <w:vAlign w:val="center"/>
          </w:tcPr>
          <w:p w14:paraId="765812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15F69AD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942" w:type="dxa"/>
            <w:shd w:val="clear" w:color="auto" w:fill="auto"/>
            <w:vAlign w:val="center"/>
          </w:tcPr>
          <w:p w14:paraId="3C10BB3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3304958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875" w:type="dxa"/>
            <w:shd w:val="clear" w:color="auto" w:fill="auto"/>
            <w:vAlign w:val="center"/>
          </w:tcPr>
          <w:p w14:paraId="0F6E319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95%时间段最大值</w:t>
            </w:r>
          </w:p>
          <w:p w14:paraId="41BF06B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37" w:type="dxa"/>
            <w:shd w:val="clear" w:color="auto" w:fill="auto"/>
            <w:vAlign w:val="center"/>
          </w:tcPr>
          <w:p w14:paraId="6DFBEC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1C2EB0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0AD318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637" w:type="dxa"/>
            <w:shd w:val="clear" w:color="auto" w:fill="auto"/>
            <w:vAlign w:val="center"/>
          </w:tcPr>
          <w:p w14:paraId="101514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23" w:type="dxa"/>
            <w:shd w:val="clear" w:color="auto" w:fill="auto"/>
            <w:vAlign w:val="center"/>
          </w:tcPr>
          <w:p w14:paraId="1B2F29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7D9120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723" w:type="dxa"/>
            <w:shd w:val="clear" w:color="auto" w:fill="auto"/>
            <w:vAlign w:val="center"/>
          </w:tcPr>
          <w:p w14:paraId="151514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468C55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76EC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04" w:type="dxa"/>
            <w:shd w:val="clear" w:color="auto" w:fill="auto"/>
            <w:vAlign w:val="center"/>
          </w:tcPr>
          <w:p w14:paraId="32CE5B7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bookmarkStart w:id="71" w:name="_Hlk198221978"/>
            <w:r>
              <w:rPr>
                <w:rFonts w:hint="eastAsia" w:ascii="Times New Roman" w:hAnsi="Times New Roman" w:cs="Times New Roman"/>
                <w:sz w:val="18"/>
                <w:szCs w:val="18"/>
              </w:rPr>
              <w:t>焦炉烟气</w:t>
            </w:r>
          </w:p>
        </w:tc>
        <w:tc>
          <w:tcPr>
            <w:tcW w:w="1418" w:type="dxa"/>
            <w:shd w:val="clear" w:color="auto" w:fill="auto"/>
            <w:vAlign w:val="center"/>
          </w:tcPr>
          <w:p w14:paraId="0936284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旋转喷雾法+SCR,袋式除尘器/活性炭基催化脱硫+SCR脱硝/活性焦一体化净化设施</w:t>
            </w:r>
          </w:p>
        </w:tc>
        <w:tc>
          <w:tcPr>
            <w:tcW w:w="717" w:type="dxa"/>
            <w:shd w:val="clear" w:color="auto" w:fill="auto"/>
            <w:vAlign w:val="center"/>
          </w:tcPr>
          <w:p w14:paraId="2B8B17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558" w:type="dxa"/>
            <w:shd w:val="clear" w:color="auto" w:fill="auto"/>
            <w:vAlign w:val="center"/>
          </w:tcPr>
          <w:p w14:paraId="3B6A33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59254</w:t>
            </w:r>
          </w:p>
        </w:tc>
        <w:tc>
          <w:tcPr>
            <w:tcW w:w="942" w:type="dxa"/>
            <w:shd w:val="clear" w:color="auto" w:fill="auto"/>
            <w:vAlign w:val="center"/>
          </w:tcPr>
          <w:p w14:paraId="3530C8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1443</w:t>
            </w:r>
          </w:p>
        </w:tc>
        <w:tc>
          <w:tcPr>
            <w:tcW w:w="875" w:type="dxa"/>
            <w:shd w:val="clear" w:color="auto" w:fill="auto"/>
            <w:vAlign w:val="center"/>
          </w:tcPr>
          <w:p w14:paraId="39879E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5.38</w:t>
            </w:r>
          </w:p>
        </w:tc>
        <w:tc>
          <w:tcPr>
            <w:tcW w:w="637" w:type="dxa"/>
            <w:shd w:val="clear" w:color="auto" w:fill="auto"/>
            <w:vAlign w:val="center"/>
          </w:tcPr>
          <w:p w14:paraId="30804A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637" w:type="dxa"/>
            <w:shd w:val="clear" w:color="auto" w:fill="auto"/>
            <w:vAlign w:val="center"/>
          </w:tcPr>
          <w:p w14:paraId="080701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96.71</w:t>
            </w:r>
          </w:p>
        </w:tc>
        <w:tc>
          <w:tcPr>
            <w:tcW w:w="723" w:type="dxa"/>
            <w:shd w:val="clear" w:color="auto" w:fill="auto"/>
            <w:vAlign w:val="center"/>
          </w:tcPr>
          <w:p w14:paraId="0D7F27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1949</w:t>
            </w:r>
          </w:p>
        </w:tc>
        <w:tc>
          <w:tcPr>
            <w:tcW w:w="723" w:type="dxa"/>
            <w:shd w:val="clear" w:color="auto" w:fill="auto"/>
            <w:vAlign w:val="center"/>
          </w:tcPr>
          <w:p w14:paraId="28F8EEA9">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1、工况波动；</w:t>
            </w:r>
          </w:p>
          <w:p w14:paraId="157C3E89">
            <w:pPr>
              <w:keepNext w:val="0"/>
              <w:keepLines w:val="0"/>
              <w:widowControl/>
              <w:suppressLineNumbers w:val="0"/>
              <w:spacing w:before="0" w:beforeAutospacing="0" w:after="0" w:afterAutospacing="0"/>
              <w:ind w:left="-60" w:leftChars="-25" w:right="-25"/>
              <w:jc w:val="both"/>
              <w:rPr>
                <w:rFonts w:hint="eastAsia" w:ascii="Times New Roman" w:hAnsi="Times New Roman" w:cs="Times New Roman"/>
                <w:sz w:val="18"/>
                <w:szCs w:val="18"/>
              </w:rPr>
            </w:pPr>
            <w:r>
              <w:rPr>
                <w:rFonts w:hint="eastAsia" w:ascii="Times New Roman" w:hAnsi="Times New Roman" w:cs="Times New Roman"/>
                <w:sz w:val="18"/>
                <w:szCs w:val="18"/>
              </w:rPr>
              <w:t>2、主引风机故障</w:t>
            </w:r>
          </w:p>
        </w:tc>
      </w:tr>
      <w:bookmarkEnd w:id="71"/>
    </w:tbl>
    <w:p w14:paraId="37B7DBD4">
      <w:pPr>
        <w:ind w:firstLine="640"/>
        <w:rPr>
          <w:rFonts w:ascii="Times New Roman" w:hAnsi="Times New Roman" w:eastAsia="仿宋_GB2312" w:cs="Times New Roman"/>
          <w:bCs/>
          <w:sz w:val="28"/>
          <w:szCs w:val="28"/>
        </w:rPr>
      </w:pPr>
      <w:r>
        <w:rPr>
          <w:rFonts w:ascii="Times New Roman" w:hAnsi="Times New Roman" w:cs="Times New Roman"/>
        </w:rPr>
        <w:drawing>
          <wp:inline distT="0" distB="0" distL="0" distR="0">
            <wp:extent cx="4469130" cy="2480310"/>
            <wp:effectExtent l="19050" t="19050" r="26670" b="15240"/>
            <wp:docPr id="1685135668" name="图片 27" descr="图片包含 图表&#10;&#10;描述已自动生成"/>
            <wp:cNvGraphicFramePr/>
            <a:graphic xmlns:a="http://schemas.openxmlformats.org/drawingml/2006/main">
              <a:graphicData uri="http://schemas.openxmlformats.org/drawingml/2006/picture">
                <pic:pic xmlns:pic="http://schemas.openxmlformats.org/drawingml/2006/picture">
                  <pic:nvPicPr>
                    <pic:cNvPr id="1685135668" name="图片 27" descr="图片包含 图表&#10;&#10;描述已自动生成"/>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69130" cy="2480310"/>
                    </a:xfrm>
                    <a:prstGeom prst="rect">
                      <a:avLst/>
                    </a:prstGeom>
                    <a:noFill/>
                    <a:ln w="6350" cmpd="sng">
                      <a:solidFill>
                        <a:srgbClr val="000000"/>
                      </a:solidFill>
                      <a:miter lim="800000"/>
                      <a:headEnd/>
                      <a:tailEnd/>
                    </a:ln>
                    <a:effectLst/>
                  </pic:spPr>
                </pic:pic>
              </a:graphicData>
            </a:graphic>
          </wp:inline>
        </w:drawing>
      </w:r>
    </w:p>
    <w:p w14:paraId="575E20EE">
      <w:pPr>
        <w:ind w:firstLine="843" w:firstLineChars="350"/>
        <w:jc w:val="center"/>
        <w:rPr>
          <w:rFonts w:ascii="Times New Roman" w:hAnsi="Times New Roman" w:cs="Times New Roman"/>
          <w:bCs/>
          <w:sz w:val="28"/>
          <w:szCs w:val="28"/>
        </w:rPr>
      </w:pPr>
      <w:r>
        <w:rPr>
          <w:rFonts w:ascii="Times New Roman" w:hAnsi="Times New Roman" w:cs="Times New Roman"/>
          <w:b/>
          <w:bCs/>
          <w:color w:val="000000"/>
          <w:szCs w:val="32"/>
        </w:rPr>
        <w:t>图5-2  焦炉烟气排放口颗粒物周期年历史数据图</w:t>
      </w:r>
    </w:p>
    <w:p w14:paraId="5F22AE30">
      <w:pPr>
        <w:pStyle w:val="35"/>
        <w:jc w:val="both"/>
        <w:rPr>
          <w:rFonts w:cs="Times New Roman"/>
        </w:rPr>
      </w:pPr>
      <w:r>
        <w:rPr>
          <w:rFonts w:cs="Times New Roman"/>
        </w:rPr>
        <w:t>结合宝钢股份在线排放数据可知，当前企业焦炉烟气中颗粒物的去除主要是通过活性焦一体化装置、半干法脱硫后串接袋式除尘的形式予以捕集，至少96.71%时间段内具备达到本标准中设定的10mg/Nm</w:t>
      </w:r>
      <w:r>
        <w:rPr>
          <w:rFonts w:cs="Times New Roman"/>
          <w:vertAlign w:val="superscript"/>
        </w:rPr>
        <w:t>3</w:t>
      </w:r>
      <w:r>
        <w:rPr>
          <w:rFonts w:cs="Times New Roman"/>
        </w:rPr>
        <w:t>的超低限值要求，本标准确定的限值与国家超低排放限值要求、已发布的其他省份地方标准限值一致。需要关注的是对于当前错流或逆流式活性焦工艺中大都未设置单独的袋式除尘装置，由于自身活性焦粉过筛效果不佳等原因导致的颗粒物外排浓度超过10mg/Nm</w:t>
      </w:r>
      <w:r>
        <w:rPr>
          <w:rFonts w:cs="Times New Roman"/>
          <w:vertAlign w:val="superscript"/>
        </w:rPr>
        <w:t>3</w:t>
      </w:r>
      <w:r>
        <w:rPr>
          <w:rFonts w:cs="Times New Roman"/>
        </w:rPr>
        <w:t>时，应考虑设置单独的袋式除尘器，满足稳定达标排放的要求。</w:t>
      </w:r>
    </w:p>
    <w:p w14:paraId="6EEED04E">
      <w:pPr>
        <w:pStyle w:val="35"/>
        <w:jc w:val="both"/>
        <w:rPr>
          <w:rFonts w:cs="Times New Roman"/>
        </w:rPr>
      </w:pPr>
      <w:r>
        <w:rPr>
          <w:rFonts w:cs="Times New Roman"/>
        </w:rPr>
        <w:t>宝武碳业2022年11月～2025年6月焦化煤精工序燃用煤气的管式炉、硫铵结晶干燥废气颗粒物监测数据统计结果如下：</w:t>
      </w:r>
    </w:p>
    <w:p w14:paraId="37F3376A">
      <w:pPr>
        <w:rPr>
          <w:rFonts w:ascii="Times New Roman" w:hAnsi="Times New Roman" w:cs="Times New Roman"/>
          <w:b/>
          <w:bCs/>
          <w:color w:val="000000"/>
          <w:szCs w:val="32"/>
        </w:rPr>
      </w:pPr>
      <w:r>
        <w:rPr>
          <w:rFonts w:ascii="Times New Roman" w:hAnsi="Times New Roman" w:cs="Times New Roman"/>
          <w:b/>
          <w:bCs/>
          <w:color w:val="000000"/>
          <w:szCs w:val="32"/>
        </w:rPr>
        <w:br w:type="page"/>
      </w:r>
    </w:p>
    <w:p w14:paraId="799E7623">
      <w:pPr>
        <w:spacing w:line="235" w:lineRule="auto"/>
        <w:jc w:val="center"/>
        <w:rPr>
          <w:rFonts w:ascii="Times New Roman" w:hAnsi="Times New Roman" w:cs="Times New Roman"/>
          <w:b/>
          <w:bCs/>
          <w:color w:val="000000"/>
          <w:szCs w:val="32"/>
        </w:rPr>
      </w:pPr>
      <w:r>
        <w:rPr>
          <w:rFonts w:hint="eastAsia" w:ascii="Times New Roman" w:hAnsi="Times New Roman" w:cs="Times New Roman"/>
          <w:b/>
          <w:bCs/>
          <w:color w:val="000000"/>
          <w:szCs w:val="32"/>
        </w:rPr>
        <w:t xml:space="preserve">表5-2-2 </w:t>
      </w:r>
      <w:r>
        <w:rPr>
          <w:rFonts w:ascii="Times New Roman" w:hAnsi="Times New Roman" w:cs="Times New Roman"/>
          <w:b/>
          <w:bCs/>
          <w:color w:val="000000"/>
          <w:szCs w:val="32"/>
        </w:rPr>
        <w:t xml:space="preserve"> </w:t>
      </w:r>
      <w:r>
        <w:rPr>
          <w:rFonts w:hint="eastAsia" w:ascii="Times New Roman" w:hAnsi="Times New Roman" w:cs="Times New Roman"/>
          <w:b/>
          <w:bCs/>
          <w:color w:val="000000"/>
          <w:szCs w:val="32"/>
        </w:rPr>
        <w:t>焦化煤精工序燃用煤气的管式炉、硫铵结晶干燥</w:t>
      </w:r>
    </w:p>
    <w:p w14:paraId="723F4037">
      <w:pPr>
        <w:spacing w:line="235" w:lineRule="auto"/>
        <w:jc w:val="center"/>
        <w:rPr>
          <w:rFonts w:ascii="Times New Roman" w:hAnsi="Times New Roman" w:cs="Times New Roman"/>
          <w:b/>
          <w:bCs/>
          <w:color w:val="000000"/>
          <w:szCs w:val="32"/>
        </w:rPr>
      </w:pPr>
      <w:r>
        <w:rPr>
          <w:rFonts w:hint="eastAsia" w:ascii="Times New Roman" w:hAnsi="Times New Roman" w:cs="Times New Roman"/>
          <w:b/>
          <w:bCs/>
          <w:color w:val="000000"/>
          <w:szCs w:val="32"/>
        </w:rPr>
        <w:t>颗粒物监测数据达标情况一览表</w:t>
      </w:r>
    </w:p>
    <w:tbl>
      <w:tblPr>
        <w:tblStyle w:val="27"/>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985"/>
        <w:gridCol w:w="1080"/>
        <w:gridCol w:w="852"/>
        <w:gridCol w:w="693"/>
        <w:gridCol w:w="819"/>
        <w:gridCol w:w="928"/>
        <w:gridCol w:w="654"/>
        <w:gridCol w:w="654"/>
        <w:gridCol w:w="743"/>
        <w:gridCol w:w="1199"/>
      </w:tblGrid>
      <w:tr w14:paraId="6EAD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dxa"/>
            <w:shd w:val="clear" w:color="auto" w:fill="auto"/>
            <w:vAlign w:val="center"/>
          </w:tcPr>
          <w:p w14:paraId="2296CA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985" w:type="dxa"/>
            <w:shd w:val="clear" w:color="auto" w:fill="auto"/>
            <w:vAlign w:val="center"/>
          </w:tcPr>
          <w:p w14:paraId="121AF64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有组织排放源</w:t>
            </w:r>
          </w:p>
        </w:tc>
        <w:tc>
          <w:tcPr>
            <w:tcW w:w="1080" w:type="dxa"/>
            <w:shd w:val="clear" w:color="auto" w:fill="auto"/>
            <w:vAlign w:val="center"/>
          </w:tcPr>
          <w:p w14:paraId="36682D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852" w:type="dxa"/>
            <w:shd w:val="clear" w:color="auto" w:fill="auto"/>
            <w:vAlign w:val="center"/>
          </w:tcPr>
          <w:p w14:paraId="0C2949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93" w:type="dxa"/>
            <w:shd w:val="clear" w:color="auto" w:fill="auto"/>
            <w:vAlign w:val="center"/>
          </w:tcPr>
          <w:p w14:paraId="65A335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111F82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819" w:type="dxa"/>
            <w:shd w:val="clear" w:color="auto" w:fill="auto"/>
            <w:vAlign w:val="center"/>
          </w:tcPr>
          <w:p w14:paraId="441F98F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42C71F7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28" w:type="dxa"/>
            <w:shd w:val="clear" w:color="auto" w:fill="auto"/>
            <w:vAlign w:val="center"/>
          </w:tcPr>
          <w:p w14:paraId="638B17B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95%时间段最大值（mg/m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54" w:type="dxa"/>
            <w:shd w:val="clear" w:color="auto" w:fill="auto"/>
            <w:vAlign w:val="center"/>
          </w:tcPr>
          <w:p w14:paraId="0DD39C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拟定标准数值</w:t>
            </w:r>
          </w:p>
        </w:tc>
        <w:tc>
          <w:tcPr>
            <w:tcW w:w="654" w:type="dxa"/>
            <w:shd w:val="clear" w:color="auto" w:fill="auto"/>
            <w:vAlign w:val="center"/>
          </w:tcPr>
          <w:p w14:paraId="40BED9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43" w:type="dxa"/>
            <w:shd w:val="clear" w:color="auto" w:fill="auto"/>
            <w:vAlign w:val="center"/>
          </w:tcPr>
          <w:p w14:paraId="3F0A3D2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1B06580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1199" w:type="dxa"/>
            <w:shd w:val="clear" w:color="auto" w:fill="auto"/>
            <w:vAlign w:val="center"/>
          </w:tcPr>
          <w:p w14:paraId="6CC18DB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4F24F2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0F96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72" w:type="dxa"/>
            <w:shd w:val="clear" w:color="auto" w:fill="auto"/>
            <w:vAlign w:val="center"/>
          </w:tcPr>
          <w:p w14:paraId="07051B9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985" w:type="dxa"/>
            <w:shd w:val="clear" w:color="auto" w:fill="auto"/>
            <w:vAlign w:val="center"/>
          </w:tcPr>
          <w:p w14:paraId="33E1D0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管式炉等燃用煤气的设施</w:t>
            </w:r>
          </w:p>
        </w:tc>
        <w:tc>
          <w:tcPr>
            <w:tcW w:w="1080" w:type="dxa"/>
            <w:shd w:val="clear" w:color="auto" w:fill="auto"/>
            <w:vAlign w:val="center"/>
          </w:tcPr>
          <w:p w14:paraId="347B88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焦炉煤气脱硫、脱氨、洗涤净化处理</w:t>
            </w:r>
          </w:p>
        </w:tc>
        <w:tc>
          <w:tcPr>
            <w:tcW w:w="852" w:type="dxa"/>
            <w:shd w:val="clear" w:color="auto" w:fill="auto"/>
            <w:vAlign w:val="center"/>
          </w:tcPr>
          <w:p w14:paraId="725345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693" w:type="dxa"/>
            <w:shd w:val="clear" w:color="auto" w:fill="auto"/>
            <w:vAlign w:val="center"/>
          </w:tcPr>
          <w:p w14:paraId="187A26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19</w:t>
            </w:r>
          </w:p>
        </w:tc>
        <w:tc>
          <w:tcPr>
            <w:tcW w:w="819" w:type="dxa"/>
            <w:shd w:val="clear" w:color="auto" w:fill="auto"/>
            <w:vAlign w:val="center"/>
          </w:tcPr>
          <w:p w14:paraId="1E3330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7.4</w:t>
            </w:r>
          </w:p>
        </w:tc>
        <w:tc>
          <w:tcPr>
            <w:tcW w:w="928" w:type="dxa"/>
            <w:shd w:val="clear" w:color="auto" w:fill="auto"/>
            <w:vAlign w:val="center"/>
          </w:tcPr>
          <w:p w14:paraId="149CA9D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6</w:t>
            </w:r>
          </w:p>
        </w:tc>
        <w:tc>
          <w:tcPr>
            <w:tcW w:w="654" w:type="dxa"/>
            <w:shd w:val="clear" w:color="auto" w:fill="auto"/>
            <w:vAlign w:val="center"/>
          </w:tcPr>
          <w:p w14:paraId="7E7F3C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654" w:type="dxa"/>
            <w:shd w:val="clear" w:color="auto" w:fill="auto"/>
            <w:vAlign w:val="center"/>
          </w:tcPr>
          <w:p w14:paraId="6F9CE6A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743" w:type="dxa"/>
            <w:shd w:val="clear" w:color="auto" w:fill="auto"/>
            <w:vAlign w:val="center"/>
          </w:tcPr>
          <w:p w14:paraId="595992B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c>
          <w:tcPr>
            <w:tcW w:w="1199" w:type="dxa"/>
            <w:shd w:val="clear" w:color="auto" w:fill="auto"/>
            <w:vAlign w:val="center"/>
          </w:tcPr>
          <w:p w14:paraId="269EB75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r w14:paraId="5DBD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72" w:type="dxa"/>
            <w:shd w:val="clear" w:color="auto" w:fill="auto"/>
            <w:vAlign w:val="center"/>
          </w:tcPr>
          <w:p w14:paraId="75BEE9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w:t>
            </w:r>
          </w:p>
        </w:tc>
        <w:tc>
          <w:tcPr>
            <w:tcW w:w="985" w:type="dxa"/>
            <w:shd w:val="clear" w:color="auto" w:fill="auto"/>
            <w:vAlign w:val="center"/>
          </w:tcPr>
          <w:p w14:paraId="416EF93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硫铵结晶干燥</w:t>
            </w:r>
          </w:p>
        </w:tc>
        <w:tc>
          <w:tcPr>
            <w:tcW w:w="1080" w:type="dxa"/>
            <w:shd w:val="clear" w:color="auto" w:fill="auto"/>
            <w:vAlign w:val="center"/>
          </w:tcPr>
          <w:p w14:paraId="171E562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旋风除尘器后串联洗涤除尘</w:t>
            </w:r>
          </w:p>
        </w:tc>
        <w:tc>
          <w:tcPr>
            <w:tcW w:w="852" w:type="dxa"/>
            <w:shd w:val="clear" w:color="auto" w:fill="auto"/>
            <w:vAlign w:val="center"/>
          </w:tcPr>
          <w:p w14:paraId="137CA0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693" w:type="dxa"/>
            <w:shd w:val="clear" w:color="auto" w:fill="auto"/>
            <w:vAlign w:val="center"/>
          </w:tcPr>
          <w:p w14:paraId="1F2FFB2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9" w:type="dxa"/>
            <w:shd w:val="clear" w:color="auto" w:fill="auto"/>
            <w:vAlign w:val="center"/>
          </w:tcPr>
          <w:p w14:paraId="5BACF0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17.3</w:t>
            </w:r>
          </w:p>
        </w:tc>
        <w:tc>
          <w:tcPr>
            <w:tcW w:w="928" w:type="dxa"/>
            <w:shd w:val="clear" w:color="auto" w:fill="auto"/>
            <w:vAlign w:val="center"/>
          </w:tcPr>
          <w:p w14:paraId="0A7E766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17.3</w:t>
            </w:r>
          </w:p>
        </w:tc>
        <w:tc>
          <w:tcPr>
            <w:tcW w:w="654" w:type="dxa"/>
            <w:shd w:val="clear" w:color="auto" w:fill="auto"/>
            <w:vAlign w:val="center"/>
          </w:tcPr>
          <w:p w14:paraId="75DDCE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654" w:type="dxa"/>
            <w:shd w:val="clear" w:color="auto" w:fill="auto"/>
            <w:vAlign w:val="center"/>
          </w:tcPr>
          <w:p w14:paraId="734A793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90</w:t>
            </w:r>
          </w:p>
        </w:tc>
        <w:tc>
          <w:tcPr>
            <w:tcW w:w="743" w:type="dxa"/>
            <w:shd w:val="clear" w:color="auto" w:fill="auto"/>
            <w:vAlign w:val="center"/>
          </w:tcPr>
          <w:p w14:paraId="360C38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1199" w:type="dxa"/>
            <w:shd w:val="clear" w:color="auto" w:fill="auto"/>
            <w:vAlign w:val="center"/>
          </w:tcPr>
          <w:p w14:paraId="7ED7AB5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1、工况波动；</w:t>
            </w:r>
          </w:p>
          <w:p w14:paraId="194530B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2、循环量降低</w:t>
            </w:r>
          </w:p>
        </w:tc>
      </w:tr>
    </w:tbl>
    <w:p w14:paraId="679C7A33">
      <w:pPr>
        <w:pStyle w:val="35"/>
        <w:jc w:val="both"/>
        <w:rPr>
          <w:rFonts w:cs="Times New Roman"/>
          <w:b/>
          <w:bCs/>
        </w:rPr>
      </w:pPr>
      <w:r>
        <w:rPr>
          <w:rFonts w:cs="Times New Roman"/>
        </w:rPr>
        <w:t>结合宝武碳业手工监测排放数据可知，当前企业管式炉等燃用煤气的设施烟气中颗粒物的去除主要是通过对焦炉煤气采用脱硫、脱氨、洗涤净化等处理，使管式炉燃烧用的焦炉煤气燃料中颗粒物得到净化，焦炉煤气经管式炉燃烧后烟气中颗粒物100%时间段内具备达到本标准中设定的10mg/Nm</w:t>
      </w:r>
      <w:r>
        <w:rPr>
          <w:rFonts w:cs="Times New Roman"/>
          <w:vertAlign w:val="superscript"/>
        </w:rPr>
        <w:t>3</w:t>
      </w:r>
      <w:r>
        <w:rPr>
          <w:rFonts w:cs="Times New Roman"/>
        </w:rPr>
        <w:t>的超低限值要求，本标准确定的限值与国家超低排放限值要求、已发布的其他省份地方标准限值一致；硫铵结晶干燥废气中颗粒物的去除主要是通过旋风除尘器后串联洗涤除尘净化处理，硫铵结晶干燥废气中颗粒物90%时间段内具备达到本标准中设定的10mg/Nm</w:t>
      </w:r>
      <w:r>
        <w:rPr>
          <w:rFonts w:cs="Times New Roman"/>
          <w:vertAlign w:val="superscript"/>
        </w:rPr>
        <w:t>3</w:t>
      </w:r>
      <w:r>
        <w:rPr>
          <w:rFonts w:cs="Times New Roman"/>
        </w:rPr>
        <w:t>的超低限值要求，需要关注的是当出现工况波动、循环量降低等原因导致硫铵结晶干燥废气颗粒物外排浓度超过10mg/Nm</w:t>
      </w:r>
      <w:r>
        <w:rPr>
          <w:rFonts w:cs="Times New Roman"/>
          <w:vertAlign w:val="superscript"/>
        </w:rPr>
        <w:t>3</w:t>
      </w:r>
      <w:r>
        <w:rPr>
          <w:rFonts w:cs="Times New Roman"/>
        </w:rPr>
        <w:t>时，应考虑及时调整硫氨结晶干燥生产工况、增加循环洗涤量提高处理效率，满足稳定达标排放的要求。</w:t>
      </w:r>
    </w:p>
    <w:p w14:paraId="07BD4A77">
      <w:pPr>
        <w:pStyle w:val="35"/>
        <w:widowControl w:val="0"/>
        <w:jc w:val="both"/>
        <w:rPr>
          <w:rFonts w:cs="Times New Roman"/>
        </w:rPr>
      </w:pPr>
      <w:r>
        <w:rPr>
          <w:rFonts w:hint="eastAsia" w:ascii="宋体" w:hAnsi="宋体"/>
        </w:rPr>
        <w:t>③</w:t>
      </w:r>
      <w:r>
        <w:rPr>
          <w:rFonts w:hint="eastAsia" w:cs="Times New Roman"/>
        </w:rPr>
        <w:t>高炉热风炉、轧钢热处理炉等</w:t>
      </w:r>
    </w:p>
    <w:p w14:paraId="04D69C77">
      <w:pPr>
        <w:pStyle w:val="35"/>
        <w:jc w:val="both"/>
        <w:rPr>
          <w:rFonts w:cs="Times New Roman"/>
        </w:rPr>
      </w:pPr>
      <w:r>
        <w:rPr>
          <w:rFonts w:cs="Times New Roman"/>
        </w:rPr>
        <w:t>高炉热风炉、轧钢热处理炉与石灰窑、白云石窑焙烧过程燃用净化后煤气，干法除尘后的高炉煤气与净化后的焦炉煤气中颗粒物含量一般均可控制在10mg/Nm</w:t>
      </w:r>
      <w:r>
        <w:rPr>
          <w:rFonts w:cs="Times New Roman"/>
          <w:vertAlign w:val="superscript"/>
        </w:rPr>
        <w:t>3</w:t>
      </w:r>
      <w:r>
        <w:rPr>
          <w:rFonts w:cs="Times New Roman"/>
        </w:rPr>
        <w:t>以内，可满足本标准中提出的限值要求。</w:t>
      </w:r>
    </w:p>
    <w:p w14:paraId="5B58E41B">
      <w:pPr>
        <w:pStyle w:val="35"/>
        <w:jc w:val="both"/>
        <w:rPr>
          <w:rFonts w:cs="Times New Roman"/>
        </w:rPr>
      </w:pPr>
      <w:r>
        <w:rPr>
          <w:rFonts w:cs="Times New Roman"/>
        </w:rPr>
        <w:t>宝钢股份2023年10月～2024年9月高炉热风炉烟气颗粒物在线监测数据统计结果如下：</w:t>
      </w:r>
    </w:p>
    <w:p w14:paraId="331C16DC">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表5-3  高炉热风炉烟气颗粒物在线监测达标情况一览表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984"/>
        <w:gridCol w:w="966"/>
        <w:gridCol w:w="967"/>
        <w:gridCol w:w="693"/>
        <w:gridCol w:w="847"/>
        <w:gridCol w:w="899"/>
        <w:gridCol w:w="654"/>
        <w:gridCol w:w="654"/>
        <w:gridCol w:w="743"/>
        <w:gridCol w:w="743"/>
      </w:tblGrid>
      <w:tr w14:paraId="0471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128125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958" w:type="dxa"/>
            <w:shd w:val="clear" w:color="auto" w:fill="auto"/>
            <w:vAlign w:val="center"/>
          </w:tcPr>
          <w:p w14:paraId="5194B6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有组织排放源</w:t>
            </w:r>
          </w:p>
        </w:tc>
        <w:tc>
          <w:tcPr>
            <w:tcW w:w="940" w:type="dxa"/>
            <w:shd w:val="clear" w:color="auto" w:fill="auto"/>
            <w:vAlign w:val="center"/>
          </w:tcPr>
          <w:p w14:paraId="0B5BBEC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941" w:type="dxa"/>
            <w:shd w:val="clear" w:color="auto" w:fill="auto"/>
            <w:vAlign w:val="center"/>
          </w:tcPr>
          <w:p w14:paraId="3AE3BC0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75" w:type="dxa"/>
            <w:shd w:val="clear" w:color="auto" w:fill="auto"/>
            <w:vAlign w:val="center"/>
          </w:tcPr>
          <w:p w14:paraId="00F2180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71DC16B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825" w:type="dxa"/>
            <w:shd w:val="clear" w:color="auto" w:fill="auto"/>
            <w:vAlign w:val="center"/>
          </w:tcPr>
          <w:p w14:paraId="527701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7682C93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最大值</w:t>
            </w:r>
          </w:p>
          <w:p w14:paraId="77BED24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875" w:type="dxa"/>
            <w:shd w:val="clear" w:color="auto" w:fill="auto"/>
            <w:vAlign w:val="center"/>
          </w:tcPr>
          <w:p w14:paraId="12B25A2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95%时间段最大值</w:t>
            </w:r>
          </w:p>
          <w:p w14:paraId="7112AC3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37" w:type="dxa"/>
            <w:shd w:val="clear" w:color="auto" w:fill="auto"/>
            <w:vAlign w:val="center"/>
          </w:tcPr>
          <w:p w14:paraId="7759CA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3B584E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318C83A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637" w:type="dxa"/>
            <w:shd w:val="clear" w:color="auto" w:fill="auto"/>
            <w:vAlign w:val="center"/>
          </w:tcPr>
          <w:p w14:paraId="090F01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23" w:type="dxa"/>
            <w:shd w:val="clear" w:color="auto" w:fill="auto"/>
            <w:vAlign w:val="center"/>
          </w:tcPr>
          <w:p w14:paraId="7C5FE4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6F2510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723" w:type="dxa"/>
            <w:shd w:val="clear" w:color="auto" w:fill="auto"/>
            <w:vAlign w:val="center"/>
          </w:tcPr>
          <w:p w14:paraId="72A7D7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024309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72C4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4B021B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958" w:type="dxa"/>
            <w:shd w:val="clear" w:color="auto" w:fill="auto"/>
            <w:vAlign w:val="center"/>
          </w:tcPr>
          <w:p w14:paraId="1E7C4D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热风炉烟气</w:t>
            </w:r>
          </w:p>
        </w:tc>
        <w:tc>
          <w:tcPr>
            <w:tcW w:w="940" w:type="dxa"/>
            <w:shd w:val="clear" w:color="auto" w:fill="auto"/>
            <w:vAlign w:val="center"/>
          </w:tcPr>
          <w:p w14:paraId="2B5D26D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净化后煤气+钙基固定床脱硫</w:t>
            </w:r>
          </w:p>
        </w:tc>
        <w:tc>
          <w:tcPr>
            <w:tcW w:w="941" w:type="dxa"/>
            <w:shd w:val="clear" w:color="auto" w:fill="auto"/>
            <w:vAlign w:val="center"/>
          </w:tcPr>
          <w:p w14:paraId="1745F2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675" w:type="dxa"/>
            <w:shd w:val="clear" w:color="auto" w:fill="auto"/>
            <w:vAlign w:val="center"/>
          </w:tcPr>
          <w:p w14:paraId="33EB2B7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8559</w:t>
            </w:r>
          </w:p>
        </w:tc>
        <w:tc>
          <w:tcPr>
            <w:tcW w:w="825" w:type="dxa"/>
            <w:shd w:val="clear" w:color="auto" w:fill="auto"/>
            <w:vAlign w:val="center"/>
          </w:tcPr>
          <w:p w14:paraId="05E4DF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6.97</w:t>
            </w:r>
          </w:p>
        </w:tc>
        <w:tc>
          <w:tcPr>
            <w:tcW w:w="875" w:type="dxa"/>
            <w:shd w:val="clear" w:color="auto" w:fill="auto"/>
            <w:vAlign w:val="center"/>
          </w:tcPr>
          <w:p w14:paraId="02A050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4.52</w:t>
            </w:r>
          </w:p>
        </w:tc>
        <w:tc>
          <w:tcPr>
            <w:tcW w:w="637" w:type="dxa"/>
            <w:shd w:val="clear" w:color="auto" w:fill="auto"/>
            <w:vAlign w:val="center"/>
          </w:tcPr>
          <w:p w14:paraId="5A659AD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637" w:type="dxa"/>
            <w:shd w:val="clear" w:color="auto" w:fill="auto"/>
            <w:vAlign w:val="center"/>
          </w:tcPr>
          <w:p w14:paraId="4C09835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723" w:type="dxa"/>
            <w:shd w:val="clear" w:color="auto" w:fill="auto"/>
            <w:vAlign w:val="center"/>
          </w:tcPr>
          <w:p w14:paraId="4FA5D3D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c>
          <w:tcPr>
            <w:tcW w:w="723" w:type="dxa"/>
            <w:shd w:val="clear" w:color="auto" w:fill="auto"/>
            <w:vAlign w:val="center"/>
          </w:tcPr>
          <w:p w14:paraId="38A20D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bl>
    <w:p w14:paraId="19AB590F">
      <w:pPr>
        <w:ind w:firstLine="640"/>
        <w:rPr>
          <w:rFonts w:ascii="Times New Roman" w:hAnsi="Times New Roman" w:eastAsia="仿宋_GB2312" w:cs="Times New Roman"/>
          <w:bCs/>
          <w:sz w:val="28"/>
          <w:szCs w:val="28"/>
        </w:rPr>
      </w:pPr>
      <w:r>
        <w:rPr>
          <w:rFonts w:ascii="Times New Roman" w:hAnsi="Times New Roman" w:cs="Times New Roman"/>
        </w:rPr>
        <w:drawing>
          <wp:inline distT="0" distB="0" distL="0" distR="0">
            <wp:extent cx="4467225" cy="2480310"/>
            <wp:effectExtent l="19050" t="19050" r="28575" b="15240"/>
            <wp:docPr id="1239772210" name="图片 48"/>
            <wp:cNvGraphicFramePr/>
            <a:graphic xmlns:a="http://schemas.openxmlformats.org/drawingml/2006/main">
              <a:graphicData uri="http://schemas.openxmlformats.org/drawingml/2006/picture">
                <pic:pic xmlns:pic="http://schemas.openxmlformats.org/drawingml/2006/picture">
                  <pic:nvPicPr>
                    <pic:cNvPr id="1239772210" name="图片 4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67600" cy="2480400"/>
                    </a:xfrm>
                    <a:prstGeom prst="rect">
                      <a:avLst/>
                    </a:prstGeom>
                    <a:noFill/>
                    <a:ln w="6350" cmpd="sng">
                      <a:solidFill>
                        <a:srgbClr val="000000"/>
                      </a:solidFill>
                      <a:miter lim="800000"/>
                      <a:headEnd/>
                      <a:tailEnd/>
                    </a:ln>
                    <a:effectLst/>
                  </pic:spPr>
                </pic:pic>
              </a:graphicData>
            </a:graphic>
          </wp:inline>
        </w:drawing>
      </w:r>
    </w:p>
    <w:p w14:paraId="347B0054">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图5-3  热风炉烟气排放口颗粒物周期年历史数据图</w:t>
      </w:r>
    </w:p>
    <w:p w14:paraId="2C748979">
      <w:pPr>
        <w:pStyle w:val="35"/>
        <w:widowControl w:val="0"/>
        <w:jc w:val="both"/>
        <w:rPr>
          <w:rFonts w:cs="Times New Roman"/>
        </w:rPr>
      </w:pPr>
      <w:r>
        <w:rPr>
          <w:rFonts w:hint="eastAsia" w:cs="Times New Roman"/>
        </w:rPr>
        <w:t>④转炉一次除尘</w:t>
      </w:r>
    </w:p>
    <w:p w14:paraId="20D979D3">
      <w:pPr>
        <w:pStyle w:val="35"/>
        <w:jc w:val="both"/>
        <w:rPr>
          <w:rFonts w:cs="Times New Roman"/>
        </w:rPr>
      </w:pPr>
      <w:r>
        <w:rPr>
          <w:rFonts w:hint="eastAsia" w:cs="Times New Roman"/>
        </w:rPr>
        <w:t>转炉一次除尘工艺目前分为干法静电除尘、新</w:t>
      </w:r>
      <w:r>
        <w:rPr>
          <w:rFonts w:cs="Times New Roman"/>
        </w:rPr>
        <w:t>OG</w:t>
      </w:r>
      <w:r>
        <w:rPr>
          <w:rFonts w:hint="eastAsia" w:cs="Times New Roman"/>
        </w:rPr>
        <w:t>湿法与半干法工艺，现有企业在应用干法除尘工艺时，一般按</w:t>
      </w:r>
      <w:r>
        <w:rPr>
          <w:rFonts w:cs="Times New Roman"/>
        </w:rPr>
        <w:t>20mg/Nm</w:t>
      </w:r>
      <w:r>
        <w:rPr>
          <w:rFonts w:cs="Times New Roman"/>
          <w:vertAlign w:val="superscript"/>
        </w:rPr>
        <w:t>3</w:t>
      </w:r>
      <w:r>
        <w:rPr>
          <w:rFonts w:hint="eastAsia" w:cs="Times New Roman"/>
        </w:rPr>
        <w:t>的外排浓度参数进行设计，加强现场运维管理，减少燃爆风险，可将出口颗粒物外排浓度控制在</w:t>
      </w:r>
      <w:r>
        <w:rPr>
          <w:rFonts w:cs="Times New Roman"/>
        </w:rPr>
        <w:t>20mg/Nm</w:t>
      </w:r>
      <w:r>
        <w:rPr>
          <w:rFonts w:cs="Times New Roman"/>
          <w:vertAlign w:val="superscript"/>
        </w:rPr>
        <w:t>3</w:t>
      </w:r>
      <w:r>
        <w:rPr>
          <w:rFonts w:hint="eastAsia" w:cs="Times New Roman"/>
        </w:rPr>
        <w:t>左右；而传统新</w:t>
      </w:r>
      <w:r>
        <w:rPr>
          <w:rFonts w:cs="Times New Roman"/>
        </w:rPr>
        <w:t>OG</w:t>
      </w:r>
      <w:r>
        <w:rPr>
          <w:rFonts w:hint="eastAsia" w:cs="Times New Roman"/>
        </w:rPr>
        <w:t>湿法与半干法工艺在设计之初一般按</w:t>
      </w:r>
      <w:r>
        <w:rPr>
          <w:rFonts w:cs="Times New Roman"/>
        </w:rPr>
        <w:t>30mg/Nm</w:t>
      </w:r>
      <w:r>
        <w:rPr>
          <w:rFonts w:cs="Times New Roman"/>
          <w:vertAlign w:val="superscript"/>
        </w:rPr>
        <w:t>3</w:t>
      </w:r>
      <w:r>
        <w:rPr>
          <w:rFonts w:hint="eastAsia" w:cs="Times New Roman"/>
        </w:rPr>
        <w:t>以下的外排浓度参数进行设计。综合宝钢股份现行</w:t>
      </w:r>
      <w:r>
        <w:rPr>
          <w:rFonts w:cs="Times New Roman"/>
        </w:rPr>
        <w:t>LT</w:t>
      </w:r>
      <w:r>
        <w:rPr>
          <w:rFonts w:hint="eastAsia" w:cs="Times New Roman"/>
        </w:rPr>
        <w:t>干法运行情况（手工监测浓度为</w:t>
      </w:r>
      <w:r>
        <w:rPr>
          <w:rFonts w:cs="Times New Roman"/>
        </w:rPr>
        <w:t>4.10mg/m</w:t>
      </w:r>
      <w:r>
        <w:rPr>
          <w:rFonts w:cs="Times New Roman"/>
          <w:vertAlign w:val="superscript"/>
        </w:rPr>
        <w:t>3</w:t>
      </w:r>
      <w:r>
        <w:rPr>
          <w:rFonts w:hint="eastAsia" w:cs="Times New Roman"/>
        </w:rPr>
        <w:t>），本标准与国内最严格的地方标准（山东、河南）保持一致，将浓度限值设定为</w:t>
      </w:r>
      <w:r>
        <w:rPr>
          <w:rFonts w:cs="Times New Roman"/>
        </w:rPr>
        <w:t>20mg/Nm</w:t>
      </w:r>
      <w:r>
        <w:rPr>
          <w:rFonts w:cs="Times New Roman"/>
          <w:vertAlign w:val="superscript"/>
        </w:rPr>
        <w:t>3</w:t>
      </w:r>
      <w:r>
        <w:rPr>
          <w:rFonts w:hint="eastAsia" w:cs="Times New Roman"/>
        </w:rPr>
        <w:t>。</w:t>
      </w:r>
    </w:p>
    <w:p w14:paraId="7545E951">
      <w:pPr>
        <w:pStyle w:val="35"/>
        <w:widowControl w:val="0"/>
        <w:jc w:val="both"/>
        <w:rPr>
          <w:rFonts w:cs="Times New Roman"/>
        </w:rPr>
      </w:pPr>
      <w:r>
        <w:rPr>
          <w:rFonts w:cs="Times New Roman"/>
        </w:rPr>
        <w:t>（2）环境除尘废气</w:t>
      </w:r>
    </w:p>
    <w:p w14:paraId="74DD0224">
      <w:pPr>
        <w:pStyle w:val="35"/>
        <w:widowControl w:val="0"/>
        <w:jc w:val="both"/>
        <w:rPr>
          <w:rFonts w:cs="Times New Roman"/>
        </w:rPr>
      </w:pPr>
      <w:r>
        <w:rPr>
          <w:rFonts w:cs="Times New Roman"/>
        </w:rPr>
        <w:t>结合宝钢股份在线监测及手工监测数据（见表5-4），除烧结机尾需要通过使用耐高温（不高于200℃）覆膜滤袋满足本标准中提出的10mg/Nm</w:t>
      </w:r>
      <w:r>
        <w:rPr>
          <w:rFonts w:cs="Times New Roman"/>
          <w:vertAlign w:val="superscript"/>
        </w:rPr>
        <w:t>3</w:t>
      </w:r>
      <w:r>
        <w:rPr>
          <w:rFonts w:cs="Times New Roman"/>
        </w:rPr>
        <w:t>的超低排放限值外，其余原料系统装卸料、转运节点，烧结配料、整粒筛分成品，高炉矿槽、出铁场，炼钢二次、三次、精炼炉及电炉除尘，轧钢拉矫、精整、抛丸、修磨、焊接机</w:t>
      </w:r>
      <w:r>
        <w:rPr>
          <w:rFonts w:hint="eastAsia" w:cs="Times New Roman"/>
        </w:rPr>
        <w:t>、转底炉预处理烘干机与转底炉烟囱</w:t>
      </w:r>
      <w:r>
        <w:rPr>
          <w:rFonts w:cs="Times New Roman"/>
        </w:rPr>
        <w:t>等环境除尘节点通过优化除尘系统参数，更换覆膜滤料或采用折叠滤筒等形式，并加强除尘器日常运维管理，查漏检堵，均可稳定达到本标准限值要求。</w:t>
      </w:r>
    </w:p>
    <w:p w14:paraId="419D0176">
      <w:pPr>
        <w:pStyle w:val="35"/>
        <w:jc w:val="both"/>
        <w:rPr>
          <w:rFonts w:cs="Times New Roman"/>
        </w:rPr>
      </w:pPr>
      <w:r>
        <w:rPr>
          <w:rFonts w:cs="Times New Roman"/>
        </w:rPr>
        <w:t>钢渣热焖工艺是长流程钢铁企业钢渣处理的基本要求，通过密闭焖渣与回收含尘蒸汽达标外排实现此节点的有组织管控，在当前国标要求100mg/Nm</w:t>
      </w:r>
      <w:r>
        <w:rPr>
          <w:rFonts w:cs="Times New Roman"/>
          <w:vertAlign w:val="superscript"/>
        </w:rPr>
        <w:t>3</w:t>
      </w:r>
      <w:r>
        <w:rPr>
          <w:rFonts w:cs="Times New Roman"/>
        </w:rPr>
        <w:t>的基础上，河北、山东及山西等省份地标进一步收严，分别达到20mg/Nm</w:t>
      </w:r>
      <w:r>
        <w:rPr>
          <w:rFonts w:cs="Times New Roman"/>
          <w:vertAlign w:val="superscript"/>
        </w:rPr>
        <w:t>3</w:t>
      </w:r>
      <w:r>
        <w:rPr>
          <w:rFonts w:cs="Times New Roman"/>
        </w:rPr>
        <w:t>或50mg/Nm</w:t>
      </w:r>
      <w:r>
        <w:rPr>
          <w:rFonts w:cs="Times New Roman"/>
          <w:vertAlign w:val="superscript"/>
        </w:rPr>
        <w:t>3</w:t>
      </w:r>
      <w:r>
        <w:rPr>
          <w:rFonts w:cs="Times New Roman"/>
        </w:rPr>
        <w:t>，因此，本标准结合宝钢股份历史手工监测数据情况，将此节点颗粒物浓度限值设定为20mg/Nm</w:t>
      </w:r>
      <w:r>
        <w:rPr>
          <w:rFonts w:cs="Times New Roman"/>
          <w:vertAlign w:val="superscript"/>
        </w:rPr>
        <w:t>3</w:t>
      </w:r>
      <w:r>
        <w:rPr>
          <w:rFonts w:cs="Times New Roman"/>
        </w:rPr>
        <w:t>。</w:t>
      </w:r>
    </w:p>
    <w:p w14:paraId="24707C93">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表5-4  环境除尘废气数据达标情况一览表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72"/>
        <w:gridCol w:w="1068"/>
        <w:gridCol w:w="840"/>
        <w:gridCol w:w="858"/>
        <w:gridCol w:w="981"/>
        <w:gridCol w:w="1004"/>
        <w:gridCol w:w="669"/>
        <w:gridCol w:w="836"/>
        <w:gridCol w:w="669"/>
      </w:tblGrid>
      <w:tr w14:paraId="6204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063C2A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1141" w:type="dxa"/>
            <w:shd w:val="clear" w:color="auto" w:fill="auto"/>
            <w:vAlign w:val="center"/>
          </w:tcPr>
          <w:p w14:paraId="7466CBE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w:t>
            </w:r>
          </w:p>
          <w:p w14:paraId="43C3B1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排放源</w:t>
            </w:r>
          </w:p>
        </w:tc>
        <w:tc>
          <w:tcPr>
            <w:tcW w:w="1040" w:type="dxa"/>
            <w:shd w:val="clear" w:color="auto" w:fill="auto"/>
            <w:vAlign w:val="center"/>
          </w:tcPr>
          <w:p w14:paraId="3B83B0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818" w:type="dxa"/>
            <w:shd w:val="clear" w:color="auto" w:fill="auto"/>
            <w:vAlign w:val="center"/>
          </w:tcPr>
          <w:p w14:paraId="520127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835" w:type="dxa"/>
            <w:shd w:val="clear" w:color="auto" w:fill="auto"/>
            <w:vAlign w:val="center"/>
          </w:tcPr>
          <w:p w14:paraId="4402F24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346139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955" w:type="dxa"/>
            <w:shd w:val="clear" w:color="auto" w:fill="auto"/>
            <w:vAlign w:val="center"/>
          </w:tcPr>
          <w:p w14:paraId="0F5443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5B76691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77" w:type="dxa"/>
            <w:shd w:val="clear" w:color="auto" w:fill="auto"/>
            <w:vAlign w:val="center"/>
          </w:tcPr>
          <w:p w14:paraId="45D3C6E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95%时间段最大值（mg/m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51" w:type="dxa"/>
            <w:shd w:val="clear" w:color="auto" w:fill="auto"/>
            <w:vAlign w:val="center"/>
          </w:tcPr>
          <w:p w14:paraId="77E56F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5F9D65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3A38235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814" w:type="dxa"/>
            <w:shd w:val="clear" w:color="auto" w:fill="auto"/>
            <w:vAlign w:val="center"/>
          </w:tcPr>
          <w:p w14:paraId="736B9B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651" w:type="dxa"/>
            <w:shd w:val="clear" w:color="auto" w:fill="auto"/>
            <w:vAlign w:val="center"/>
          </w:tcPr>
          <w:p w14:paraId="5A192D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4B8644B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r>
      <w:tr w14:paraId="5C65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06769C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1141" w:type="dxa"/>
            <w:shd w:val="clear" w:color="auto" w:fill="auto"/>
            <w:vAlign w:val="center"/>
          </w:tcPr>
          <w:p w14:paraId="24B863C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烧结机尾</w:t>
            </w:r>
          </w:p>
          <w:p w14:paraId="46D219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废气</w:t>
            </w:r>
          </w:p>
        </w:tc>
        <w:tc>
          <w:tcPr>
            <w:tcW w:w="1040" w:type="dxa"/>
            <w:shd w:val="clear" w:color="auto" w:fill="auto"/>
            <w:vAlign w:val="center"/>
          </w:tcPr>
          <w:p w14:paraId="6FB00F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0FE997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4CDDA6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25443</w:t>
            </w:r>
          </w:p>
        </w:tc>
        <w:tc>
          <w:tcPr>
            <w:tcW w:w="955" w:type="dxa"/>
            <w:shd w:val="clear" w:color="auto" w:fill="auto"/>
            <w:vAlign w:val="center"/>
          </w:tcPr>
          <w:p w14:paraId="3849225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11.38</w:t>
            </w:r>
          </w:p>
        </w:tc>
        <w:tc>
          <w:tcPr>
            <w:tcW w:w="977" w:type="dxa"/>
            <w:shd w:val="clear" w:color="auto" w:fill="auto"/>
            <w:vAlign w:val="center"/>
          </w:tcPr>
          <w:p w14:paraId="5F6013A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3.73</w:t>
            </w:r>
          </w:p>
        </w:tc>
        <w:tc>
          <w:tcPr>
            <w:tcW w:w="651" w:type="dxa"/>
            <w:shd w:val="clear" w:color="auto" w:fill="auto"/>
            <w:vAlign w:val="center"/>
          </w:tcPr>
          <w:p w14:paraId="4C3DFA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60AF240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99.99</w:t>
            </w:r>
          </w:p>
        </w:tc>
        <w:tc>
          <w:tcPr>
            <w:tcW w:w="651" w:type="dxa"/>
            <w:shd w:val="clear" w:color="auto" w:fill="auto"/>
            <w:vAlign w:val="center"/>
          </w:tcPr>
          <w:p w14:paraId="2293B11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r>
      <w:tr w14:paraId="49C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092A7C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w:t>
            </w:r>
          </w:p>
        </w:tc>
        <w:tc>
          <w:tcPr>
            <w:tcW w:w="1141" w:type="dxa"/>
            <w:shd w:val="clear" w:color="auto" w:fill="auto"/>
            <w:vAlign w:val="center"/>
          </w:tcPr>
          <w:p w14:paraId="3DF772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烧结配料、燃料破碎、环冷、成品转运废气</w:t>
            </w:r>
          </w:p>
        </w:tc>
        <w:tc>
          <w:tcPr>
            <w:tcW w:w="1040" w:type="dxa"/>
            <w:shd w:val="clear" w:color="auto" w:fill="auto"/>
            <w:vAlign w:val="center"/>
          </w:tcPr>
          <w:p w14:paraId="6813D0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07C00A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26DA5A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43172</w:t>
            </w:r>
          </w:p>
        </w:tc>
        <w:tc>
          <w:tcPr>
            <w:tcW w:w="955" w:type="dxa"/>
            <w:shd w:val="clear" w:color="auto" w:fill="auto"/>
            <w:vAlign w:val="center"/>
          </w:tcPr>
          <w:p w14:paraId="07D6D9F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14.73</w:t>
            </w:r>
          </w:p>
        </w:tc>
        <w:tc>
          <w:tcPr>
            <w:tcW w:w="977" w:type="dxa"/>
            <w:shd w:val="clear" w:color="auto" w:fill="auto"/>
            <w:vAlign w:val="center"/>
          </w:tcPr>
          <w:p w14:paraId="3F4219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2.79</w:t>
            </w:r>
          </w:p>
        </w:tc>
        <w:tc>
          <w:tcPr>
            <w:tcW w:w="651" w:type="dxa"/>
            <w:shd w:val="clear" w:color="auto" w:fill="auto"/>
            <w:vAlign w:val="center"/>
          </w:tcPr>
          <w:p w14:paraId="571919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0F2C48F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99.99</w:t>
            </w:r>
          </w:p>
        </w:tc>
        <w:tc>
          <w:tcPr>
            <w:tcW w:w="651" w:type="dxa"/>
            <w:shd w:val="clear" w:color="auto" w:fill="auto"/>
            <w:vAlign w:val="center"/>
          </w:tcPr>
          <w:p w14:paraId="7FB170D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r>
      <w:tr w14:paraId="07E1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5E3558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w:t>
            </w:r>
          </w:p>
        </w:tc>
        <w:tc>
          <w:tcPr>
            <w:tcW w:w="1141" w:type="dxa"/>
            <w:shd w:val="clear" w:color="auto" w:fill="auto"/>
            <w:vAlign w:val="center"/>
          </w:tcPr>
          <w:p w14:paraId="31F4A54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干熄焦烟气</w:t>
            </w:r>
          </w:p>
        </w:tc>
        <w:tc>
          <w:tcPr>
            <w:tcW w:w="1040" w:type="dxa"/>
            <w:shd w:val="clear" w:color="auto" w:fill="auto"/>
            <w:vAlign w:val="center"/>
          </w:tcPr>
          <w:p w14:paraId="234E73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活性炭基催化剂脱硫</w:t>
            </w:r>
          </w:p>
        </w:tc>
        <w:tc>
          <w:tcPr>
            <w:tcW w:w="818" w:type="dxa"/>
            <w:shd w:val="clear" w:color="auto" w:fill="auto"/>
            <w:vAlign w:val="center"/>
          </w:tcPr>
          <w:p w14:paraId="762277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1ACC8C1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41602</w:t>
            </w:r>
          </w:p>
        </w:tc>
        <w:tc>
          <w:tcPr>
            <w:tcW w:w="955" w:type="dxa"/>
            <w:shd w:val="clear" w:color="auto" w:fill="auto"/>
            <w:vAlign w:val="center"/>
          </w:tcPr>
          <w:p w14:paraId="38C4815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17.47</w:t>
            </w:r>
          </w:p>
        </w:tc>
        <w:tc>
          <w:tcPr>
            <w:tcW w:w="977" w:type="dxa"/>
            <w:shd w:val="clear" w:color="auto" w:fill="auto"/>
            <w:vAlign w:val="center"/>
          </w:tcPr>
          <w:p w14:paraId="43A60A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2.90</w:t>
            </w:r>
          </w:p>
        </w:tc>
        <w:tc>
          <w:tcPr>
            <w:tcW w:w="651" w:type="dxa"/>
            <w:shd w:val="clear" w:color="auto" w:fill="auto"/>
            <w:vAlign w:val="center"/>
          </w:tcPr>
          <w:p w14:paraId="46F0EC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58253DE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99.99</w:t>
            </w:r>
          </w:p>
        </w:tc>
        <w:tc>
          <w:tcPr>
            <w:tcW w:w="651" w:type="dxa"/>
            <w:shd w:val="clear" w:color="auto" w:fill="auto"/>
            <w:vAlign w:val="center"/>
          </w:tcPr>
          <w:p w14:paraId="4B62A2D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w:t>
            </w:r>
          </w:p>
        </w:tc>
      </w:tr>
      <w:tr w14:paraId="3079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426A2D2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w:t>
            </w:r>
          </w:p>
        </w:tc>
        <w:tc>
          <w:tcPr>
            <w:tcW w:w="1141" w:type="dxa"/>
            <w:shd w:val="clear" w:color="auto" w:fill="auto"/>
            <w:vAlign w:val="center"/>
          </w:tcPr>
          <w:p w14:paraId="51865E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推焦除尘</w:t>
            </w:r>
          </w:p>
          <w:p w14:paraId="1BFFF27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烟气</w:t>
            </w:r>
          </w:p>
        </w:tc>
        <w:tc>
          <w:tcPr>
            <w:tcW w:w="1040" w:type="dxa"/>
            <w:shd w:val="clear" w:color="auto" w:fill="auto"/>
            <w:vAlign w:val="center"/>
          </w:tcPr>
          <w:p w14:paraId="75586E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5755A2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17DF5F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43320</w:t>
            </w:r>
          </w:p>
        </w:tc>
        <w:tc>
          <w:tcPr>
            <w:tcW w:w="955" w:type="dxa"/>
            <w:shd w:val="clear" w:color="auto" w:fill="auto"/>
            <w:vAlign w:val="center"/>
          </w:tcPr>
          <w:p w14:paraId="3B63F30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11.79</w:t>
            </w:r>
          </w:p>
        </w:tc>
        <w:tc>
          <w:tcPr>
            <w:tcW w:w="977" w:type="dxa"/>
            <w:shd w:val="clear" w:color="auto" w:fill="auto"/>
            <w:vAlign w:val="center"/>
          </w:tcPr>
          <w:p w14:paraId="0B059EB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5.00</w:t>
            </w:r>
          </w:p>
        </w:tc>
        <w:tc>
          <w:tcPr>
            <w:tcW w:w="651" w:type="dxa"/>
            <w:shd w:val="clear" w:color="auto" w:fill="auto"/>
            <w:vAlign w:val="center"/>
          </w:tcPr>
          <w:p w14:paraId="0D788FD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796D62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99.98</w:t>
            </w:r>
          </w:p>
        </w:tc>
        <w:tc>
          <w:tcPr>
            <w:tcW w:w="651" w:type="dxa"/>
            <w:shd w:val="clear" w:color="auto" w:fill="auto"/>
            <w:vAlign w:val="center"/>
          </w:tcPr>
          <w:p w14:paraId="6822BB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8</w:t>
            </w:r>
          </w:p>
        </w:tc>
      </w:tr>
      <w:tr w14:paraId="7F8E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465AE4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w:t>
            </w:r>
          </w:p>
        </w:tc>
        <w:tc>
          <w:tcPr>
            <w:tcW w:w="1141" w:type="dxa"/>
            <w:shd w:val="clear" w:color="auto" w:fill="auto"/>
            <w:vAlign w:val="center"/>
          </w:tcPr>
          <w:p w14:paraId="611DFAB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装煤除尘</w:t>
            </w:r>
          </w:p>
          <w:p w14:paraId="4F4F2A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烟气</w:t>
            </w:r>
          </w:p>
        </w:tc>
        <w:tc>
          <w:tcPr>
            <w:tcW w:w="1040" w:type="dxa"/>
            <w:shd w:val="clear" w:color="auto" w:fill="auto"/>
            <w:vAlign w:val="center"/>
          </w:tcPr>
          <w:p w14:paraId="4BF819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袋式除尘器+预喷涂焦粉</w:t>
            </w:r>
          </w:p>
        </w:tc>
        <w:tc>
          <w:tcPr>
            <w:tcW w:w="818" w:type="dxa"/>
            <w:shd w:val="clear" w:color="auto" w:fill="auto"/>
            <w:vAlign w:val="center"/>
          </w:tcPr>
          <w:p w14:paraId="0A4EEE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225EE86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25446</w:t>
            </w:r>
          </w:p>
        </w:tc>
        <w:tc>
          <w:tcPr>
            <w:tcW w:w="955" w:type="dxa"/>
            <w:shd w:val="clear" w:color="auto" w:fill="auto"/>
            <w:vAlign w:val="center"/>
          </w:tcPr>
          <w:p w14:paraId="3BCFB6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4.67</w:t>
            </w:r>
          </w:p>
        </w:tc>
        <w:tc>
          <w:tcPr>
            <w:tcW w:w="977" w:type="dxa"/>
            <w:shd w:val="clear" w:color="auto" w:fill="auto"/>
            <w:vAlign w:val="center"/>
          </w:tcPr>
          <w:p w14:paraId="5CED399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2.83</w:t>
            </w:r>
          </w:p>
        </w:tc>
        <w:tc>
          <w:tcPr>
            <w:tcW w:w="651" w:type="dxa"/>
            <w:shd w:val="clear" w:color="auto" w:fill="auto"/>
            <w:vAlign w:val="center"/>
          </w:tcPr>
          <w:p w14:paraId="3C0EAC1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472F1D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651" w:type="dxa"/>
            <w:shd w:val="clear" w:color="auto" w:fill="auto"/>
            <w:vAlign w:val="center"/>
          </w:tcPr>
          <w:p w14:paraId="097E7A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r>
      <w:tr w14:paraId="2B66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26C00F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6</w:t>
            </w:r>
          </w:p>
        </w:tc>
        <w:tc>
          <w:tcPr>
            <w:tcW w:w="1141" w:type="dxa"/>
            <w:shd w:val="clear" w:color="auto" w:fill="auto"/>
            <w:vAlign w:val="center"/>
          </w:tcPr>
          <w:p w14:paraId="0D4321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矿槽除尘</w:t>
            </w:r>
          </w:p>
          <w:p w14:paraId="2BFEE36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废气</w:t>
            </w:r>
          </w:p>
        </w:tc>
        <w:tc>
          <w:tcPr>
            <w:tcW w:w="1040" w:type="dxa"/>
            <w:shd w:val="clear" w:color="auto" w:fill="auto"/>
            <w:vAlign w:val="center"/>
          </w:tcPr>
          <w:p w14:paraId="0417FF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23846BE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147A2B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68138</w:t>
            </w:r>
          </w:p>
        </w:tc>
        <w:tc>
          <w:tcPr>
            <w:tcW w:w="955" w:type="dxa"/>
            <w:shd w:val="clear" w:color="auto" w:fill="auto"/>
            <w:vAlign w:val="center"/>
          </w:tcPr>
          <w:p w14:paraId="70ED69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8.44</w:t>
            </w:r>
          </w:p>
        </w:tc>
        <w:tc>
          <w:tcPr>
            <w:tcW w:w="977" w:type="dxa"/>
            <w:shd w:val="clear" w:color="auto" w:fill="auto"/>
            <w:vAlign w:val="center"/>
          </w:tcPr>
          <w:p w14:paraId="3E368F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2.72</w:t>
            </w:r>
          </w:p>
        </w:tc>
        <w:tc>
          <w:tcPr>
            <w:tcW w:w="651" w:type="dxa"/>
            <w:shd w:val="clear" w:color="auto" w:fill="auto"/>
            <w:vAlign w:val="center"/>
          </w:tcPr>
          <w:p w14:paraId="474948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6DAB73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651" w:type="dxa"/>
            <w:shd w:val="clear" w:color="auto" w:fill="auto"/>
            <w:vAlign w:val="center"/>
          </w:tcPr>
          <w:p w14:paraId="638F80F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r>
      <w:tr w14:paraId="2FFA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63B272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w:t>
            </w:r>
          </w:p>
        </w:tc>
        <w:tc>
          <w:tcPr>
            <w:tcW w:w="1141" w:type="dxa"/>
            <w:shd w:val="clear" w:color="auto" w:fill="auto"/>
            <w:vAlign w:val="center"/>
          </w:tcPr>
          <w:p w14:paraId="4C0BEE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出铁场除尘废气</w:t>
            </w:r>
          </w:p>
        </w:tc>
        <w:tc>
          <w:tcPr>
            <w:tcW w:w="1040" w:type="dxa"/>
            <w:shd w:val="clear" w:color="auto" w:fill="auto"/>
            <w:vAlign w:val="center"/>
          </w:tcPr>
          <w:p w14:paraId="0A058D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063544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43B159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85779</w:t>
            </w:r>
          </w:p>
        </w:tc>
        <w:tc>
          <w:tcPr>
            <w:tcW w:w="955" w:type="dxa"/>
            <w:shd w:val="clear" w:color="auto" w:fill="auto"/>
            <w:vAlign w:val="center"/>
          </w:tcPr>
          <w:p w14:paraId="678DB7E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7.87</w:t>
            </w:r>
          </w:p>
        </w:tc>
        <w:tc>
          <w:tcPr>
            <w:tcW w:w="977" w:type="dxa"/>
            <w:shd w:val="clear" w:color="auto" w:fill="auto"/>
            <w:vAlign w:val="center"/>
          </w:tcPr>
          <w:p w14:paraId="396E4D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3.18</w:t>
            </w:r>
          </w:p>
        </w:tc>
        <w:tc>
          <w:tcPr>
            <w:tcW w:w="651" w:type="dxa"/>
            <w:shd w:val="clear" w:color="auto" w:fill="auto"/>
            <w:vAlign w:val="center"/>
          </w:tcPr>
          <w:p w14:paraId="652BBA1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4FC126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651" w:type="dxa"/>
            <w:shd w:val="clear" w:color="auto" w:fill="auto"/>
            <w:vAlign w:val="center"/>
          </w:tcPr>
          <w:p w14:paraId="0E4AA1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r>
      <w:tr w14:paraId="16CA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61F012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8</w:t>
            </w:r>
          </w:p>
        </w:tc>
        <w:tc>
          <w:tcPr>
            <w:tcW w:w="1141" w:type="dxa"/>
            <w:shd w:val="clear" w:color="auto" w:fill="auto"/>
            <w:vAlign w:val="center"/>
          </w:tcPr>
          <w:p w14:paraId="61DBF1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煤粉制备</w:t>
            </w:r>
          </w:p>
          <w:p w14:paraId="04D228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废气</w:t>
            </w:r>
          </w:p>
        </w:tc>
        <w:tc>
          <w:tcPr>
            <w:tcW w:w="1040" w:type="dxa"/>
            <w:shd w:val="clear" w:color="auto" w:fill="auto"/>
            <w:vAlign w:val="center"/>
          </w:tcPr>
          <w:p w14:paraId="1B98B9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1E7724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575E99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83683</w:t>
            </w:r>
          </w:p>
        </w:tc>
        <w:tc>
          <w:tcPr>
            <w:tcW w:w="955" w:type="dxa"/>
            <w:shd w:val="clear" w:color="auto" w:fill="auto"/>
            <w:vAlign w:val="center"/>
          </w:tcPr>
          <w:p w14:paraId="779743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18.04</w:t>
            </w:r>
          </w:p>
        </w:tc>
        <w:tc>
          <w:tcPr>
            <w:tcW w:w="977" w:type="dxa"/>
            <w:shd w:val="clear" w:color="auto" w:fill="auto"/>
            <w:vAlign w:val="center"/>
          </w:tcPr>
          <w:p w14:paraId="6CFAB9F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4.71</w:t>
            </w:r>
          </w:p>
        </w:tc>
        <w:tc>
          <w:tcPr>
            <w:tcW w:w="651" w:type="dxa"/>
            <w:shd w:val="clear" w:color="auto" w:fill="auto"/>
            <w:vAlign w:val="center"/>
          </w:tcPr>
          <w:p w14:paraId="2850DF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53F821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99.99</w:t>
            </w:r>
          </w:p>
        </w:tc>
        <w:tc>
          <w:tcPr>
            <w:tcW w:w="651" w:type="dxa"/>
            <w:shd w:val="clear" w:color="auto" w:fill="auto"/>
            <w:vAlign w:val="center"/>
          </w:tcPr>
          <w:p w14:paraId="5CD6B6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8</w:t>
            </w:r>
          </w:p>
        </w:tc>
      </w:tr>
      <w:tr w14:paraId="45EF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776B446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w:t>
            </w:r>
          </w:p>
        </w:tc>
        <w:tc>
          <w:tcPr>
            <w:tcW w:w="1141" w:type="dxa"/>
            <w:shd w:val="clear" w:color="auto" w:fill="auto"/>
            <w:vAlign w:val="center"/>
          </w:tcPr>
          <w:p w14:paraId="0500815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炼钢二次</w:t>
            </w:r>
          </w:p>
          <w:p w14:paraId="5EA1D5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除尘废气</w:t>
            </w:r>
          </w:p>
        </w:tc>
        <w:tc>
          <w:tcPr>
            <w:tcW w:w="1040" w:type="dxa"/>
            <w:shd w:val="clear" w:color="auto" w:fill="auto"/>
            <w:vAlign w:val="center"/>
          </w:tcPr>
          <w:p w14:paraId="1D02376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4CBD339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763154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17092</w:t>
            </w:r>
          </w:p>
        </w:tc>
        <w:tc>
          <w:tcPr>
            <w:tcW w:w="955" w:type="dxa"/>
            <w:shd w:val="clear" w:color="auto" w:fill="auto"/>
            <w:vAlign w:val="center"/>
          </w:tcPr>
          <w:p w14:paraId="030D1B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5.67</w:t>
            </w:r>
          </w:p>
        </w:tc>
        <w:tc>
          <w:tcPr>
            <w:tcW w:w="977" w:type="dxa"/>
            <w:shd w:val="clear" w:color="auto" w:fill="auto"/>
            <w:vAlign w:val="center"/>
          </w:tcPr>
          <w:p w14:paraId="35739E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3.59</w:t>
            </w:r>
          </w:p>
        </w:tc>
        <w:tc>
          <w:tcPr>
            <w:tcW w:w="651" w:type="dxa"/>
            <w:shd w:val="clear" w:color="auto" w:fill="auto"/>
            <w:vAlign w:val="center"/>
          </w:tcPr>
          <w:p w14:paraId="510AA8F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02C36D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651" w:type="dxa"/>
            <w:shd w:val="clear" w:color="auto" w:fill="auto"/>
            <w:vAlign w:val="center"/>
          </w:tcPr>
          <w:p w14:paraId="371A33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r>
      <w:tr w14:paraId="1625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734D3D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1141" w:type="dxa"/>
            <w:shd w:val="clear" w:color="auto" w:fill="auto"/>
            <w:vAlign w:val="center"/>
          </w:tcPr>
          <w:p w14:paraId="2D31DE5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炼钢铁水扒渣、预处理、脱硫除尘废气</w:t>
            </w:r>
          </w:p>
        </w:tc>
        <w:tc>
          <w:tcPr>
            <w:tcW w:w="1040" w:type="dxa"/>
            <w:shd w:val="clear" w:color="auto" w:fill="auto"/>
            <w:vAlign w:val="center"/>
          </w:tcPr>
          <w:p w14:paraId="31881D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6D82A75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1C8A0A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59952</w:t>
            </w:r>
          </w:p>
        </w:tc>
        <w:tc>
          <w:tcPr>
            <w:tcW w:w="955" w:type="dxa"/>
            <w:shd w:val="clear" w:color="auto" w:fill="auto"/>
            <w:vAlign w:val="center"/>
          </w:tcPr>
          <w:p w14:paraId="0D6E0D6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10.5</w:t>
            </w:r>
          </w:p>
        </w:tc>
        <w:tc>
          <w:tcPr>
            <w:tcW w:w="977" w:type="dxa"/>
            <w:shd w:val="clear" w:color="auto" w:fill="auto"/>
            <w:vAlign w:val="center"/>
          </w:tcPr>
          <w:p w14:paraId="69AA6B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3.9</w:t>
            </w:r>
          </w:p>
        </w:tc>
        <w:tc>
          <w:tcPr>
            <w:tcW w:w="651" w:type="dxa"/>
            <w:shd w:val="clear" w:color="auto" w:fill="auto"/>
            <w:vAlign w:val="center"/>
          </w:tcPr>
          <w:p w14:paraId="3431DC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065641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651" w:type="dxa"/>
            <w:shd w:val="clear" w:color="auto" w:fill="auto"/>
            <w:vAlign w:val="center"/>
          </w:tcPr>
          <w:p w14:paraId="549744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r>
      <w:tr w14:paraId="606A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6E9F187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11</w:t>
            </w:r>
          </w:p>
        </w:tc>
        <w:tc>
          <w:tcPr>
            <w:tcW w:w="1141" w:type="dxa"/>
            <w:shd w:val="clear" w:color="auto" w:fill="auto"/>
            <w:vAlign w:val="center"/>
          </w:tcPr>
          <w:p w14:paraId="338E07C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电炉烟气</w:t>
            </w:r>
          </w:p>
        </w:tc>
        <w:tc>
          <w:tcPr>
            <w:tcW w:w="1040" w:type="dxa"/>
            <w:shd w:val="clear" w:color="auto" w:fill="auto"/>
            <w:vAlign w:val="center"/>
          </w:tcPr>
          <w:p w14:paraId="775ECD5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818" w:type="dxa"/>
            <w:shd w:val="clear" w:color="auto" w:fill="auto"/>
            <w:vAlign w:val="center"/>
          </w:tcPr>
          <w:p w14:paraId="3E4091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0FB8A56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17686</w:t>
            </w:r>
          </w:p>
        </w:tc>
        <w:tc>
          <w:tcPr>
            <w:tcW w:w="955" w:type="dxa"/>
            <w:shd w:val="clear" w:color="auto" w:fill="auto"/>
            <w:vAlign w:val="center"/>
          </w:tcPr>
          <w:p w14:paraId="3B1795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4.05</w:t>
            </w:r>
          </w:p>
        </w:tc>
        <w:tc>
          <w:tcPr>
            <w:tcW w:w="977" w:type="dxa"/>
            <w:shd w:val="clear" w:color="auto" w:fill="auto"/>
            <w:vAlign w:val="center"/>
          </w:tcPr>
          <w:p w14:paraId="05BCDB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2.7</w:t>
            </w:r>
          </w:p>
        </w:tc>
        <w:tc>
          <w:tcPr>
            <w:tcW w:w="651" w:type="dxa"/>
            <w:shd w:val="clear" w:color="auto" w:fill="auto"/>
            <w:vAlign w:val="center"/>
          </w:tcPr>
          <w:p w14:paraId="1265931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w:t>
            </w:r>
          </w:p>
        </w:tc>
        <w:tc>
          <w:tcPr>
            <w:tcW w:w="814" w:type="dxa"/>
            <w:shd w:val="clear" w:color="auto" w:fill="auto"/>
            <w:vAlign w:val="center"/>
          </w:tcPr>
          <w:p w14:paraId="459FA3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651" w:type="dxa"/>
            <w:shd w:val="clear" w:color="auto" w:fill="auto"/>
            <w:vAlign w:val="center"/>
          </w:tcPr>
          <w:p w14:paraId="095F17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r>
      <w:tr w14:paraId="7987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shd w:val="clear" w:color="auto" w:fill="auto"/>
            <w:vAlign w:val="center"/>
          </w:tcPr>
          <w:p w14:paraId="0DF8F9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12</w:t>
            </w:r>
          </w:p>
        </w:tc>
        <w:tc>
          <w:tcPr>
            <w:tcW w:w="1141" w:type="dxa"/>
            <w:shd w:val="clear" w:color="auto" w:fill="auto"/>
            <w:vAlign w:val="center"/>
          </w:tcPr>
          <w:p w14:paraId="019B18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炼钢钢渣处理废气</w:t>
            </w:r>
          </w:p>
        </w:tc>
        <w:tc>
          <w:tcPr>
            <w:tcW w:w="1040" w:type="dxa"/>
            <w:shd w:val="clear" w:color="auto" w:fill="auto"/>
            <w:vAlign w:val="center"/>
          </w:tcPr>
          <w:p w14:paraId="07A56D9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湿式喷淋</w:t>
            </w:r>
          </w:p>
        </w:tc>
        <w:tc>
          <w:tcPr>
            <w:tcW w:w="818" w:type="dxa"/>
            <w:shd w:val="clear" w:color="auto" w:fill="auto"/>
            <w:vAlign w:val="center"/>
          </w:tcPr>
          <w:p w14:paraId="158E2D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35" w:type="dxa"/>
            <w:shd w:val="clear" w:color="auto" w:fill="auto"/>
            <w:vAlign w:val="center"/>
          </w:tcPr>
          <w:p w14:paraId="4EAAF51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w:t>
            </w:r>
          </w:p>
        </w:tc>
        <w:tc>
          <w:tcPr>
            <w:tcW w:w="955" w:type="dxa"/>
            <w:shd w:val="clear" w:color="auto" w:fill="auto"/>
            <w:vAlign w:val="center"/>
          </w:tcPr>
          <w:p w14:paraId="706826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11.2</w:t>
            </w:r>
          </w:p>
        </w:tc>
        <w:tc>
          <w:tcPr>
            <w:tcW w:w="977" w:type="dxa"/>
            <w:shd w:val="clear" w:color="auto" w:fill="auto"/>
            <w:vAlign w:val="center"/>
          </w:tcPr>
          <w:p w14:paraId="23278A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w:t>
            </w:r>
          </w:p>
        </w:tc>
        <w:tc>
          <w:tcPr>
            <w:tcW w:w="651" w:type="dxa"/>
            <w:shd w:val="clear" w:color="auto" w:fill="auto"/>
            <w:vAlign w:val="center"/>
          </w:tcPr>
          <w:p w14:paraId="595316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20</w:t>
            </w:r>
          </w:p>
        </w:tc>
        <w:tc>
          <w:tcPr>
            <w:tcW w:w="814" w:type="dxa"/>
            <w:shd w:val="clear" w:color="auto" w:fill="auto"/>
            <w:vAlign w:val="center"/>
          </w:tcPr>
          <w:p w14:paraId="64F165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651" w:type="dxa"/>
            <w:shd w:val="clear" w:color="auto" w:fill="auto"/>
            <w:vAlign w:val="center"/>
          </w:tcPr>
          <w:p w14:paraId="382157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r>
    </w:tbl>
    <w:p w14:paraId="0AC34A46">
      <w:pPr>
        <w:ind w:firstLine="640"/>
        <w:rPr>
          <w:rFonts w:ascii="Times New Roman" w:hAnsi="Times New Roman" w:cs="Times New Roman"/>
        </w:rPr>
      </w:pPr>
      <w:bookmarkStart w:id="72" w:name="_Toc511380541"/>
      <w:r>
        <w:rPr>
          <w:rFonts w:ascii="Times New Roman" w:hAnsi="Times New Roman" w:cs="Times New Roman"/>
        </w:rPr>
        <w:drawing>
          <wp:inline distT="0" distB="0" distL="0" distR="0">
            <wp:extent cx="4587240" cy="2758440"/>
            <wp:effectExtent l="19050" t="19050" r="22860" b="22860"/>
            <wp:docPr id="1948706820" name="图片 49"/>
            <wp:cNvGraphicFramePr/>
            <a:graphic xmlns:a="http://schemas.openxmlformats.org/drawingml/2006/main">
              <a:graphicData uri="http://schemas.openxmlformats.org/drawingml/2006/picture">
                <pic:pic xmlns:pic="http://schemas.openxmlformats.org/drawingml/2006/picture">
                  <pic:nvPicPr>
                    <pic:cNvPr id="1948706820" name="图片 49"/>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87240" cy="2758440"/>
                    </a:xfrm>
                    <a:prstGeom prst="rect">
                      <a:avLst/>
                    </a:prstGeom>
                    <a:noFill/>
                    <a:ln w="6350" cmpd="sng">
                      <a:solidFill>
                        <a:srgbClr val="000000"/>
                      </a:solidFill>
                      <a:miter lim="800000"/>
                      <a:headEnd/>
                      <a:tailEnd/>
                    </a:ln>
                    <a:effectLst/>
                  </pic:spPr>
                </pic:pic>
              </a:graphicData>
            </a:graphic>
          </wp:inline>
        </w:drawing>
      </w:r>
    </w:p>
    <w:p w14:paraId="7CC322E7">
      <w:pPr>
        <w:ind w:firstLine="640"/>
        <w:jc w:val="center"/>
        <w:rPr>
          <w:rFonts w:ascii="Times New Roman" w:hAnsi="Times New Roman" w:cs="Times New Roman"/>
        </w:rPr>
      </w:pPr>
      <w:r>
        <w:rPr>
          <w:rFonts w:ascii="Times New Roman" w:hAnsi="Times New Roman" w:cs="Times New Roman"/>
          <w:b/>
          <w:bCs/>
          <w:color w:val="000000"/>
          <w:szCs w:val="32"/>
        </w:rPr>
        <w:t>图5-4  烧结机尾废气排放口颗粒物周期年历史数据图</w:t>
      </w:r>
    </w:p>
    <w:p w14:paraId="6235C571">
      <w:pPr>
        <w:ind w:firstLine="640"/>
        <w:rPr>
          <w:rFonts w:ascii="Times New Roman" w:hAnsi="Times New Roman" w:cs="Times New Roman"/>
        </w:rPr>
      </w:pPr>
      <w:r>
        <w:rPr>
          <w:rFonts w:ascii="Times New Roman" w:hAnsi="Times New Roman" w:cs="Times New Roman"/>
        </w:rPr>
        <w:drawing>
          <wp:inline distT="0" distB="0" distL="0" distR="0">
            <wp:extent cx="4587240" cy="2758440"/>
            <wp:effectExtent l="19050" t="19050" r="22860" b="22860"/>
            <wp:docPr id="1103702480" name="图片 50" descr="散点图&#10;&#10;中度可信度描述已自动生成"/>
            <wp:cNvGraphicFramePr/>
            <a:graphic xmlns:a="http://schemas.openxmlformats.org/drawingml/2006/main">
              <a:graphicData uri="http://schemas.openxmlformats.org/drawingml/2006/picture">
                <pic:pic xmlns:pic="http://schemas.openxmlformats.org/drawingml/2006/picture">
                  <pic:nvPicPr>
                    <pic:cNvPr id="1103702480" name="图片 50" descr="散点图&#10;&#10;中度可信度描述已自动生成"/>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87240" cy="2758440"/>
                    </a:xfrm>
                    <a:prstGeom prst="rect">
                      <a:avLst/>
                    </a:prstGeom>
                    <a:noFill/>
                    <a:ln w="6350" cmpd="sng">
                      <a:solidFill>
                        <a:srgbClr val="000000"/>
                      </a:solidFill>
                      <a:miter lim="800000"/>
                      <a:headEnd/>
                      <a:tailEnd/>
                    </a:ln>
                    <a:effectLst/>
                  </pic:spPr>
                </pic:pic>
              </a:graphicData>
            </a:graphic>
          </wp:inline>
        </w:drawing>
      </w:r>
    </w:p>
    <w:p w14:paraId="180871EB">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图5-5  烧结配料、燃料破碎、成品转运、环冷废气颗粒物</w:t>
      </w:r>
    </w:p>
    <w:p w14:paraId="43B85945">
      <w:pPr>
        <w:ind w:firstLine="640"/>
        <w:jc w:val="center"/>
        <w:rPr>
          <w:rFonts w:ascii="Times New Roman" w:hAnsi="Times New Roman" w:cs="Times New Roman"/>
          <w:bCs/>
          <w:sz w:val="28"/>
          <w:szCs w:val="28"/>
        </w:rPr>
      </w:pPr>
      <w:r>
        <w:rPr>
          <w:rFonts w:ascii="Times New Roman" w:hAnsi="Times New Roman" w:cs="Times New Roman"/>
          <w:b/>
          <w:bCs/>
          <w:color w:val="000000"/>
          <w:szCs w:val="32"/>
        </w:rPr>
        <w:t>周期年历史数据图</w:t>
      </w:r>
    </w:p>
    <w:p w14:paraId="0D63FFA8">
      <w:pPr>
        <w:ind w:firstLine="640"/>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277522432" name="图片 5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22432" name="图片 51" descr="图片包含 日程表&#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40EE8FF7">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图5-6  装煤烟气排放口颗粒物历史数据图</w:t>
      </w:r>
    </w:p>
    <w:p w14:paraId="10D52680">
      <w:pPr>
        <w:ind w:firstLine="640"/>
        <w:jc w:val="center"/>
        <w:rPr>
          <w:rFonts w:ascii="Times New Roman" w:hAnsi="Times New Roman" w:eastAsia="仿宋_GB2312" w:cs="Times New Roman"/>
          <w:bCs/>
          <w:sz w:val="28"/>
          <w:szCs w:val="28"/>
        </w:rPr>
      </w:pPr>
      <w:r>
        <w:rPr>
          <w:rFonts w:ascii="Times New Roman" w:hAnsi="Times New Roman" w:cs="Times New Roman"/>
        </w:rPr>
        <w:drawing>
          <wp:inline distT="0" distB="0" distL="0" distR="0">
            <wp:extent cx="4125595" cy="2480310"/>
            <wp:effectExtent l="19050" t="19050" r="27305" b="15240"/>
            <wp:docPr id="1581843916" name="图片 52"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43916" name="图片 52" descr="图表&#10;&#10;低可信度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17946936">
      <w:pPr>
        <w:ind w:firstLine="640"/>
        <w:jc w:val="center"/>
        <w:rPr>
          <w:rFonts w:ascii="Times New Roman" w:hAnsi="Times New Roman" w:cs="Times New Roman"/>
          <w:bCs/>
          <w:sz w:val="28"/>
          <w:szCs w:val="28"/>
        </w:rPr>
      </w:pPr>
      <w:r>
        <w:rPr>
          <w:rFonts w:ascii="Times New Roman" w:hAnsi="Times New Roman" w:cs="Times New Roman"/>
          <w:b/>
          <w:bCs/>
          <w:color w:val="000000"/>
          <w:szCs w:val="32"/>
        </w:rPr>
        <w:t>图5-7  推焦烟气排放口颗粒物周期年历史数据图</w:t>
      </w:r>
    </w:p>
    <w:p w14:paraId="6A9C169B">
      <w:pPr>
        <w:ind w:firstLine="640"/>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1537467762" name="图片 53" descr="图片包含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67762" name="图片 53" descr="图片包含 应用程序&#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2DBCFBC4">
      <w:pPr>
        <w:ind w:firstLine="640"/>
        <w:jc w:val="center"/>
        <w:rPr>
          <w:rFonts w:ascii="Times New Roman" w:hAnsi="Times New Roman" w:cs="Times New Roman"/>
        </w:rPr>
      </w:pPr>
      <w:r>
        <w:rPr>
          <w:rFonts w:ascii="Times New Roman" w:hAnsi="Times New Roman" w:cs="Times New Roman"/>
          <w:b/>
          <w:bCs/>
          <w:color w:val="000000"/>
          <w:szCs w:val="32"/>
        </w:rPr>
        <w:t>图5-8  干熄焦烟气排放口颗粒物周期年历史数据图</w:t>
      </w:r>
    </w:p>
    <w:p w14:paraId="7D819CD8">
      <w:pPr>
        <w:ind w:firstLine="640"/>
        <w:jc w:val="center"/>
        <w:rPr>
          <w:rFonts w:ascii="Times New Roman" w:hAnsi="Times New Roman" w:eastAsia="仿宋_GB2312" w:cs="Times New Roman"/>
          <w:bCs/>
          <w:sz w:val="28"/>
          <w:szCs w:val="28"/>
        </w:rPr>
      </w:pPr>
      <w:r>
        <w:rPr>
          <w:rFonts w:ascii="Times New Roman" w:hAnsi="Times New Roman" w:cs="Times New Roman"/>
        </w:rPr>
        <w:drawing>
          <wp:inline distT="0" distB="0" distL="0" distR="0">
            <wp:extent cx="4125595" cy="2480310"/>
            <wp:effectExtent l="19050" t="19050" r="27305" b="15240"/>
            <wp:docPr id="1383918435" name="图片 5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18435" name="图片 56" descr="图表, 散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5AA0933B">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图5-9  高炉出铁场废气排放口颗粒物周期年历史数据图</w:t>
      </w:r>
    </w:p>
    <w:p w14:paraId="46A264CD">
      <w:pPr>
        <w:ind w:firstLine="640"/>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356518261" name="图片 5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18261" name="图片 55" descr="图表, 散点图&#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4880BE45">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图5-10  高炉矿槽废气排放口颗粒物周期年历史数据图</w:t>
      </w:r>
    </w:p>
    <w:p w14:paraId="7E64FB46">
      <w:pPr>
        <w:ind w:firstLine="640"/>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1638351410" name="图片 5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51410" name="图片 54" descr="图表, 散点图&#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4A956A37">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图5-11  高炉其他含尘废气排放口颗粒物周期年历史数据图</w:t>
      </w:r>
    </w:p>
    <w:p w14:paraId="39411F93">
      <w:pPr>
        <w:ind w:firstLine="640"/>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1680528903" name="图片 59"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28903" name="图片 59" descr="图片包含 图表&#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01567289">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图5-12  转炉二次烟气排放口颗粒物周期年历史数据图</w:t>
      </w:r>
    </w:p>
    <w:p w14:paraId="6B25BEA0">
      <w:pPr>
        <w:ind w:firstLine="640"/>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406345279" name="图片 5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45279" name="图片 58" descr="图表, 散点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68A1922D">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图5-13  电炉烟气排放口颗粒物周期年历史数据图</w:t>
      </w:r>
    </w:p>
    <w:p w14:paraId="5C77C6AA">
      <w:pPr>
        <w:ind w:firstLine="640"/>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1566629222" name="图片 57" descr="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29222" name="图片 57" descr="散点图&#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76441BE3">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图5-14  铁水预处理、精炼、扒渣废气排放口颗粒物周期年历史数据图</w:t>
      </w:r>
    </w:p>
    <w:p w14:paraId="083118ED">
      <w:pPr>
        <w:rPr>
          <w:rFonts w:ascii="Times New Roman" w:hAnsi="Times New Roman" w:cs="Times New Roman"/>
          <w:b/>
        </w:rPr>
      </w:pPr>
      <w:bookmarkStart w:id="73" w:name="_Toc185781625"/>
      <w:bookmarkStart w:id="74" w:name="_Toc185784335"/>
      <w:bookmarkStart w:id="75" w:name="_Toc185778996"/>
      <w:bookmarkStart w:id="76" w:name="_Toc185779060"/>
      <w:r>
        <w:rPr>
          <w:rFonts w:cs="Times New Roman"/>
        </w:rPr>
        <w:br w:type="page"/>
      </w:r>
    </w:p>
    <w:p w14:paraId="2D822089">
      <w:pPr>
        <w:pStyle w:val="43"/>
        <w:ind w:firstLine="482"/>
        <w:rPr>
          <w:rFonts w:eastAsia="宋体" w:cs="Times New Roman"/>
        </w:rPr>
      </w:pPr>
      <w:bookmarkStart w:id="77" w:name="_Toc217058303"/>
      <w:r>
        <w:rPr>
          <w:rFonts w:eastAsia="宋体" w:cs="Times New Roman"/>
        </w:rPr>
        <w:t>5.2.2</w:t>
      </w:r>
      <w:bookmarkEnd w:id="72"/>
      <w:r>
        <w:rPr>
          <w:rFonts w:eastAsia="宋体" w:cs="Times New Roman"/>
        </w:rPr>
        <w:t xml:space="preserve"> 二氧化硫</w:t>
      </w:r>
      <w:bookmarkEnd w:id="73"/>
      <w:bookmarkEnd w:id="74"/>
      <w:bookmarkEnd w:id="75"/>
      <w:bookmarkEnd w:id="76"/>
      <w:bookmarkEnd w:id="77"/>
    </w:p>
    <w:p w14:paraId="52E1A872">
      <w:pPr>
        <w:pStyle w:val="35"/>
        <w:widowControl w:val="0"/>
        <w:jc w:val="both"/>
        <w:rPr>
          <w:rFonts w:cs="Times New Roman"/>
        </w:rPr>
      </w:pPr>
      <w:r>
        <w:rPr>
          <w:rFonts w:cs="Times New Roman"/>
        </w:rPr>
        <w:t>（1）烧结（球团）工序</w:t>
      </w:r>
    </w:p>
    <w:p w14:paraId="200ADED5">
      <w:pPr>
        <w:pStyle w:val="35"/>
        <w:jc w:val="both"/>
        <w:rPr>
          <w:rFonts w:cs="Times New Roman"/>
        </w:rPr>
      </w:pPr>
      <w:r>
        <w:rPr>
          <w:rFonts w:cs="Times New Roman"/>
        </w:rPr>
        <w:t>宝钢股份2023年10月～2024年9月烧结机头烟气二氧化硫在线监测数据统计结果如下：</w:t>
      </w:r>
    </w:p>
    <w:p w14:paraId="1C1C714C">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表5-5  烧结机头烟气二氧化硫在线监测数据达标情况一览表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57"/>
        <w:gridCol w:w="582"/>
        <w:gridCol w:w="582"/>
        <w:gridCol w:w="1019"/>
        <w:gridCol w:w="1165"/>
        <w:gridCol w:w="712"/>
        <w:gridCol w:w="726"/>
        <w:gridCol w:w="702"/>
        <w:gridCol w:w="1000"/>
      </w:tblGrid>
      <w:tr w14:paraId="43E4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14:paraId="2301C26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有组织排放源</w:t>
            </w:r>
          </w:p>
        </w:tc>
        <w:tc>
          <w:tcPr>
            <w:tcW w:w="1418" w:type="dxa"/>
            <w:shd w:val="clear" w:color="auto" w:fill="auto"/>
            <w:vAlign w:val="center"/>
          </w:tcPr>
          <w:p w14:paraId="2118DF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567" w:type="dxa"/>
            <w:shd w:val="clear" w:color="auto" w:fill="auto"/>
            <w:vAlign w:val="center"/>
          </w:tcPr>
          <w:p w14:paraId="52F504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567" w:type="dxa"/>
            <w:shd w:val="clear" w:color="auto" w:fill="auto"/>
            <w:vAlign w:val="center"/>
          </w:tcPr>
          <w:p w14:paraId="6ABB9E2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3E5F8A1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992" w:type="dxa"/>
            <w:shd w:val="clear" w:color="auto" w:fill="auto"/>
            <w:vAlign w:val="center"/>
          </w:tcPr>
          <w:p w14:paraId="1F5344D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全时段最大值</w:t>
            </w:r>
          </w:p>
          <w:p w14:paraId="239F5B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1134" w:type="dxa"/>
            <w:shd w:val="clear" w:color="auto" w:fill="auto"/>
            <w:vAlign w:val="center"/>
          </w:tcPr>
          <w:p w14:paraId="5759841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95%时间段最大值</w:t>
            </w:r>
          </w:p>
          <w:p w14:paraId="4141F9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93" w:type="dxa"/>
            <w:shd w:val="clear" w:color="auto" w:fill="auto"/>
            <w:vAlign w:val="center"/>
          </w:tcPr>
          <w:p w14:paraId="6CD1585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6A055D9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700366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707" w:type="dxa"/>
            <w:shd w:val="clear" w:color="auto" w:fill="auto"/>
            <w:vAlign w:val="center"/>
          </w:tcPr>
          <w:p w14:paraId="66B8A3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683" w:type="dxa"/>
            <w:shd w:val="clear" w:color="auto" w:fill="auto"/>
            <w:vAlign w:val="center"/>
          </w:tcPr>
          <w:p w14:paraId="66CBCF5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超标数据量</w:t>
            </w:r>
          </w:p>
        </w:tc>
        <w:tc>
          <w:tcPr>
            <w:tcW w:w="973" w:type="dxa"/>
            <w:shd w:val="clear" w:color="auto" w:fill="auto"/>
            <w:vAlign w:val="center"/>
          </w:tcPr>
          <w:p w14:paraId="53FC5F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2166CF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3A55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562" w:type="dxa"/>
            <w:shd w:val="clear" w:color="auto" w:fill="auto"/>
            <w:vAlign w:val="center"/>
          </w:tcPr>
          <w:p w14:paraId="47CD569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烧结机头烟气</w:t>
            </w:r>
          </w:p>
        </w:tc>
        <w:tc>
          <w:tcPr>
            <w:tcW w:w="1418" w:type="dxa"/>
            <w:shd w:val="clear" w:color="auto" w:fill="auto"/>
            <w:vAlign w:val="center"/>
          </w:tcPr>
          <w:p w14:paraId="7D6905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四电场静电除尘器+协同处置装置-活性炭（焦）法/循环流化床+SCR脱硝</w:t>
            </w:r>
          </w:p>
        </w:tc>
        <w:tc>
          <w:tcPr>
            <w:tcW w:w="567" w:type="dxa"/>
            <w:shd w:val="clear" w:color="auto" w:fill="auto"/>
            <w:vAlign w:val="center"/>
          </w:tcPr>
          <w:p w14:paraId="092342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567" w:type="dxa"/>
            <w:shd w:val="clear" w:color="auto" w:fill="auto"/>
            <w:vAlign w:val="center"/>
          </w:tcPr>
          <w:p w14:paraId="59BDF9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33576</w:t>
            </w:r>
          </w:p>
        </w:tc>
        <w:tc>
          <w:tcPr>
            <w:tcW w:w="992" w:type="dxa"/>
            <w:shd w:val="clear" w:color="auto" w:fill="auto"/>
            <w:vAlign w:val="center"/>
          </w:tcPr>
          <w:p w14:paraId="134659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1825</w:t>
            </w:r>
          </w:p>
        </w:tc>
        <w:tc>
          <w:tcPr>
            <w:tcW w:w="1134" w:type="dxa"/>
            <w:shd w:val="clear" w:color="auto" w:fill="auto"/>
            <w:vAlign w:val="center"/>
          </w:tcPr>
          <w:p w14:paraId="2B888B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13.86</w:t>
            </w:r>
          </w:p>
        </w:tc>
        <w:tc>
          <w:tcPr>
            <w:tcW w:w="693" w:type="dxa"/>
            <w:shd w:val="clear" w:color="auto" w:fill="auto"/>
            <w:vAlign w:val="center"/>
          </w:tcPr>
          <w:p w14:paraId="49E9E4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35</w:t>
            </w:r>
          </w:p>
        </w:tc>
        <w:tc>
          <w:tcPr>
            <w:tcW w:w="707" w:type="dxa"/>
            <w:shd w:val="clear" w:color="auto" w:fill="auto"/>
            <w:vAlign w:val="center"/>
          </w:tcPr>
          <w:p w14:paraId="3D3961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99.59</w:t>
            </w:r>
          </w:p>
        </w:tc>
        <w:tc>
          <w:tcPr>
            <w:tcW w:w="683" w:type="dxa"/>
            <w:shd w:val="clear" w:color="auto" w:fill="auto"/>
            <w:vAlign w:val="center"/>
          </w:tcPr>
          <w:p w14:paraId="006B7A9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139</w:t>
            </w:r>
          </w:p>
        </w:tc>
        <w:tc>
          <w:tcPr>
            <w:tcW w:w="973" w:type="dxa"/>
            <w:shd w:val="clear" w:color="auto" w:fill="auto"/>
            <w:vAlign w:val="center"/>
          </w:tcPr>
          <w:p w14:paraId="598DD81D">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1、开、停机阶段氧含量异常；</w:t>
            </w:r>
          </w:p>
          <w:p w14:paraId="1991576D">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2、工况波动；</w:t>
            </w:r>
          </w:p>
          <w:p w14:paraId="0AC57F61">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3、治理设施故障</w:t>
            </w:r>
          </w:p>
        </w:tc>
      </w:tr>
    </w:tbl>
    <w:p w14:paraId="778737A2">
      <w:pPr>
        <w:ind w:firstLine="640"/>
        <w:rPr>
          <w:rFonts w:ascii="Times New Roman" w:hAnsi="Times New Roman" w:eastAsia="仿宋_GB2312" w:cs="Times New Roman"/>
          <w:bCs/>
          <w:sz w:val="28"/>
          <w:szCs w:val="28"/>
        </w:rPr>
      </w:pPr>
      <w:r>
        <w:rPr>
          <w:rFonts w:ascii="Times New Roman" w:hAnsi="Times New Roman" w:cs="Times New Roman"/>
        </w:rPr>
        <w:t xml:space="preserve"> </w:t>
      </w:r>
      <w:r>
        <w:rPr>
          <w:rFonts w:ascii="Times New Roman" w:hAnsi="Times New Roman" w:cs="Times New Roman"/>
        </w:rPr>
        <w:drawing>
          <wp:inline distT="0" distB="0" distL="0" distR="0">
            <wp:extent cx="4417060" cy="2480310"/>
            <wp:effectExtent l="19050" t="19050" r="21590" b="15240"/>
            <wp:docPr id="1565600335" name="图片 7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0335" name="图片 74" descr="图表&#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17200" cy="2480400"/>
                    </a:xfrm>
                    <a:prstGeom prst="rect">
                      <a:avLst/>
                    </a:prstGeom>
                    <a:noFill/>
                    <a:ln w="6350" cmpd="sng">
                      <a:solidFill>
                        <a:srgbClr val="000000"/>
                      </a:solidFill>
                      <a:miter lim="800000"/>
                      <a:headEnd/>
                      <a:tailEnd/>
                    </a:ln>
                    <a:effectLst/>
                  </pic:spPr>
                </pic:pic>
              </a:graphicData>
            </a:graphic>
          </wp:inline>
        </w:drawing>
      </w:r>
    </w:p>
    <w:p w14:paraId="589C773B">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图5-15  烧结机头烟气排放口二氧化硫周期年历史数据图</w:t>
      </w:r>
    </w:p>
    <w:p w14:paraId="117FE346">
      <w:pPr>
        <w:pStyle w:val="35"/>
        <w:jc w:val="both"/>
        <w:rPr>
          <w:rFonts w:cs="Times New Roman"/>
        </w:rPr>
      </w:pPr>
      <w:r>
        <w:rPr>
          <w:rFonts w:cs="Times New Roman"/>
        </w:rPr>
        <w:t>结合宝钢股份烧结机头烟气在线监测数据可知，各烧结机头烟气二氧化硫整体达标率为99.59%，超标原因主要为开</w:t>
      </w:r>
      <w:r>
        <w:rPr>
          <w:rFonts w:hint="eastAsia" w:cs="Times New Roman"/>
        </w:rPr>
        <w:t>、</w:t>
      </w:r>
      <w:r>
        <w:rPr>
          <w:rFonts w:cs="Times New Roman"/>
        </w:rPr>
        <w:t>停机阶段氧含量异常，折算造成的超标</w:t>
      </w:r>
      <w:r>
        <w:rPr>
          <w:rFonts w:hint="eastAsia" w:cs="Times New Roman"/>
        </w:rPr>
        <w:t>约</w:t>
      </w:r>
      <w:r>
        <w:rPr>
          <w:rFonts w:cs="Times New Roman"/>
        </w:rPr>
        <w:t>占88%，其余为工况波动、主引风机故障等，上述超标均为短时间段超标，出现超标问题后及时调整工况、开展检修均能迅速恢复正常排放水平。由此可见，当前钢铁企业烧结机头烟气经过干法、半干法处理后，SO</w:t>
      </w:r>
      <w:r>
        <w:rPr>
          <w:rFonts w:cs="Times New Roman"/>
          <w:vertAlign w:val="subscript"/>
        </w:rPr>
        <w:t>2</w:t>
      </w:r>
      <w:r>
        <w:rPr>
          <w:rFonts w:cs="Times New Roman"/>
        </w:rPr>
        <w:t>外排浓度均具备满足《超低意见》中限值要求的能力。钢铁企业通过采取源头控制措施，有效降低烧结脱硫设施入口浓度低于1800mg/Nm</w:t>
      </w:r>
      <w:r>
        <w:rPr>
          <w:rFonts w:cs="Times New Roman"/>
          <w:vertAlign w:val="superscript"/>
        </w:rPr>
        <w:t>3</w:t>
      </w:r>
      <w:r>
        <w:rPr>
          <w:rFonts w:cs="Times New Roman"/>
        </w:rPr>
        <w:t>，无论是活性焦一体化工艺的脱硫效果还是循环流化床、旋转喷雾等半干法脱硫工艺，以及其他省份钢铁企业采用的石灰/石灰石-石膏、氧化镁等湿法脱硫工艺，其脱硫能力均可满足超低排放限值要求，因此本标准中将烧结机头烟气SO</w:t>
      </w:r>
      <w:r>
        <w:rPr>
          <w:rFonts w:cs="Times New Roman"/>
          <w:vertAlign w:val="subscript"/>
        </w:rPr>
        <w:t>2</w:t>
      </w:r>
      <w:r>
        <w:rPr>
          <w:rFonts w:cs="Times New Roman"/>
        </w:rPr>
        <w:t>外排浓度设定在35mg/Nm</w:t>
      </w:r>
      <w:r>
        <w:rPr>
          <w:rFonts w:cs="Times New Roman"/>
          <w:vertAlign w:val="superscript"/>
        </w:rPr>
        <w:t>3</w:t>
      </w:r>
      <w:r>
        <w:rPr>
          <w:rFonts w:cs="Times New Roman"/>
        </w:rPr>
        <w:t>，基准氧含量与现行国标修改单保持一致。</w:t>
      </w:r>
    </w:p>
    <w:p w14:paraId="0196CDD4">
      <w:pPr>
        <w:pStyle w:val="35"/>
        <w:jc w:val="both"/>
        <w:rPr>
          <w:rFonts w:cs="Times New Roman"/>
        </w:rPr>
      </w:pPr>
      <w:r>
        <w:rPr>
          <w:rFonts w:cs="Times New Roman"/>
        </w:rPr>
        <w:t>上海市目前未建设有球团装备，同烧结机头烟气处理工艺路线类似，因此认为现有的干法、半干法与湿法脱硫工艺均可满足35mg/Nm</w:t>
      </w:r>
      <w:r>
        <w:rPr>
          <w:rFonts w:cs="Times New Roman"/>
          <w:vertAlign w:val="superscript"/>
        </w:rPr>
        <w:t>3</w:t>
      </w:r>
      <w:r>
        <w:rPr>
          <w:rFonts w:cs="Times New Roman"/>
        </w:rPr>
        <w:t>的超低限值要求。</w:t>
      </w:r>
    </w:p>
    <w:p w14:paraId="128AE942">
      <w:pPr>
        <w:pStyle w:val="35"/>
        <w:widowControl w:val="0"/>
        <w:jc w:val="both"/>
        <w:rPr>
          <w:rFonts w:cs="Times New Roman"/>
        </w:rPr>
      </w:pPr>
      <w:r>
        <w:rPr>
          <w:rFonts w:cs="Times New Roman"/>
        </w:rPr>
        <w:t>（2）焦化工序</w:t>
      </w:r>
    </w:p>
    <w:p w14:paraId="0F6355A8">
      <w:pPr>
        <w:pStyle w:val="35"/>
        <w:jc w:val="both"/>
        <w:rPr>
          <w:rFonts w:cs="Times New Roman"/>
        </w:rPr>
      </w:pPr>
      <w:r>
        <w:rPr>
          <w:rFonts w:cs="Times New Roman"/>
        </w:rPr>
        <w:t>宝钢股份2023年10月～2024年9月焦炉烟气、装煤、推焦、干熄焦废气二氧化硫在线监测数据统计结果如下：</w:t>
      </w:r>
    </w:p>
    <w:p w14:paraId="21C5842A">
      <w:pPr>
        <w:spacing w:line="235" w:lineRule="auto"/>
        <w:jc w:val="center"/>
        <w:rPr>
          <w:rFonts w:ascii="Times New Roman" w:hAnsi="Times New Roman" w:cs="Times New Roman"/>
          <w:b/>
          <w:bCs/>
          <w:color w:val="000000"/>
          <w:sz w:val="22"/>
          <w:szCs w:val="28"/>
        </w:rPr>
      </w:pPr>
      <w:r>
        <w:rPr>
          <w:rFonts w:ascii="Times New Roman" w:hAnsi="Times New Roman" w:cs="Times New Roman"/>
          <w:b/>
          <w:bCs/>
          <w:color w:val="000000"/>
          <w:sz w:val="22"/>
          <w:szCs w:val="28"/>
        </w:rPr>
        <w:t>表5-6-1  焦炉烟气、装煤、推焦、干熄焦废气二氧化硫在线数据达标情况一览表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849"/>
        <w:gridCol w:w="1104"/>
        <w:gridCol w:w="964"/>
        <w:gridCol w:w="693"/>
        <w:gridCol w:w="819"/>
        <w:gridCol w:w="928"/>
        <w:gridCol w:w="654"/>
        <w:gridCol w:w="654"/>
        <w:gridCol w:w="743"/>
        <w:gridCol w:w="743"/>
      </w:tblGrid>
      <w:tr w14:paraId="47A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168D4F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826" w:type="dxa"/>
            <w:shd w:val="clear" w:color="auto" w:fill="auto"/>
            <w:vAlign w:val="center"/>
          </w:tcPr>
          <w:p w14:paraId="3879E1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w:t>
            </w:r>
          </w:p>
          <w:p w14:paraId="6F0F18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排放源</w:t>
            </w:r>
          </w:p>
        </w:tc>
        <w:tc>
          <w:tcPr>
            <w:tcW w:w="1075" w:type="dxa"/>
            <w:shd w:val="clear" w:color="auto" w:fill="auto"/>
            <w:vAlign w:val="center"/>
          </w:tcPr>
          <w:p w14:paraId="480FA79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938" w:type="dxa"/>
            <w:shd w:val="clear" w:color="auto" w:fill="auto"/>
            <w:vAlign w:val="center"/>
          </w:tcPr>
          <w:p w14:paraId="66CF0E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75" w:type="dxa"/>
            <w:shd w:val="clear" w:color="auto" w:fill="auto"/>
            <w:vAlign w:val="center"/>
          </w:tcPr>
          <w:p w14:paraId="2F08F8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0BDDB8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797" w:type="dxa"/>
            <w:shd w:val="clear" w:color="auto" w:fill="auto"/>
            <w:vAlign w:val="center"/>
          </w:tcPr>
          <w:p w14:paraId="32A927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全时段最大值</w:t>
            </w:r>
          </w:p>
          <w:p w14:paraId="2C95B7F9">
            <w:pPr>
              <w:keepNext w:val="0"/>
              <w:keepLines w:val="0"/>
              <w:widowControl/>
              <w:suppressLineNumbers w:val="0"/>
              <w:spacing w:before="0" w:beforeAutospacing="0" w:after="0" w:afterAutospacing="0"/>
              <w:ind w:left="-240" w:leftChars="-100" w:right="-240" w:rightChars="-100"/>
              <w:jc w:val="center"/>
              <w:rPr>
                <w:rFonts w:hint="eastAsia" w:ascii="Times New Roman" w:hAnsi="Times New Roman" w:cs="Times New Roman"/>
                <w:sz w:val="18"/>
                <w:szCs w:val="18"/>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03" w:type="dxa"/>
            <w:shd w:val="clear" w:color="auto" w:fill="auto"/>
            <w:vAlign w:val="center"/>
          </w:tcPr>
          <w:p w14:paraId="2C4131F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95%时间段最大值</w:t>
            </w:r>
          </w:p>
          <w:p w14:paraId="673352F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37" w:type="dxa"/>
            <w:shd w:val="clear" w:color="auto" w:fill="auto"/>
            <w:vAlign w:val="center"/>
          </w:tcPr>
          <w:p w14:paraId="050F90F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44D06C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74F6A2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637" w:type="dxa"/>
            <w:shd w:val="clear" w:color="auto" w:fill="auto"/>
            <w:vAlign w:val="center"/>
          </w:tcPr>
          <w:p w14:paraId="6E8053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23" w:type="dxa"/>
            <w:shd w:val="clear" w:color="auto" w:fill="auto"/>
            <w:vAlign w:val="center"/>
          </w:tcPr>
          <w:p w14:paraId="078658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6A6D50C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723" w:type="dxa"/>
            <w:shd w:val="clear" w:color="auto" w:fill="auto"/>
            <w:vAlign w:val="center"/>
          </w:tcPr>
          <w:p w14:paraId="5A931C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2F721C6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3505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62" w:type="dxa"/>
            <w:shd w:val="clear" w:color="auto" w:fill="auto"/>
            <w:vAlign w:val="center"/>
          </w:tcPr>
          <w:p w14:paraId="552132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826" w:type="dxa"/>
            <w:shd w:val="clear" w:color="auto" w:fill="auto"/>
            <w:vAlign w:val="center"/>
          </w:tcPr>
          <w:p w14:paraId="24690C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焦炉烟气</w:t>
            </w:r>
          </w:p>
        </w:tc>
        <w:tc>
          <w:tcPr>
            <w:tcW w:w="1075" w:type="dxa"/>
            <w:shd w:val="clear" w:color="auto" w:fill="auto"/>
            <w:vAlign w:val="center"/>
          </w:tcPr>
          <w:p w14:paraId="74BFF56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旋转喷雾法+SCR,袋式除尘器/活性炭基催化脱硫+SCR脱硝/活性焦一体化净化设施</w:t>
            </w:r>
          </w:p>
        </w:tc>
        <w:tc>
          <w:tcPr>
            <w:tcW w:w="938" w:type="dxa"/>
            <w:shd w:val="clear" w:color="auto" w:fill="auto"/>
            <w:vAlign w:val="center"/>
          </w:tcPr>
          <w:p w14:paraId="2AE9B6F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75" w:type="dxa"/>
            <w:shd w:val="clear" w:color="auto" w:fill="auto"/>
            <w:vAlign w:val="center"/>
          </w:tcPr>
          <w:p w14:paraId="70189D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59280</w:t>
            </w:r>
          </w:p>
        </w:tc>
        <w:tc>
          <w:tcPr>
            <w:tcW w:w="797" w:type="dxa"/>
            <w:shd w:val="clear" w:color="auto" w:fill="auto"/>
            <w:vAlign w:val="center"/>
          </w:tcPr>
          <w:p w14:paraId="4AE2F1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1087</w:t>
            </w:r>
          </w:p>
        </w:tc>
        <w:tc>
          <w:tcPr>
            <w:tcW w:w="903" w:type="dxa"/>
            <w:shd w:val="clear" w:color="auto" w:fill="auto"/>
            <w:vAlign w:val="center"/>
          </w:tcPr>
          <w:p w14:paraId="6C4DEA8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24.7</w:t>
            </w:r>
          </w:p>
        </w:tc>
        <w:tc>
          <w:tcPr>
            <w:tcW w:w="637" w:type="dxa"/>
            <w:shd w:val="clear" w:color="auto" w:fill="auto"/>
            <w:vAlign w:val="center"/>
          </w:tcPr>
          <w:p w14:paraId="504BD8E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30</w:t>
            </w:r>
          </w:p>
        </w:tc>
        <w:tc>
          <w:tcPr>
            <w:tcW w:w="637" w:type="dxa"/>
            <w:shd w:val="clear" w:color="auto" w:fill="auto"/>
            <w:vAlign w:val="center"/>
          </w:tcPr>
          <w:p w14:paraId="3EC23C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99.39</w:t>
            </w:r>
          </w:p>
        </w:tc>
        <w:tc>
          <w:tcPr>
            <w:tcW w:w="723" w:type="dxa"/>
            <w:shd w:val="clear" w:color="auto" w:fill="auto"/>
            <w:vAlign w:val="center"/>
          </w:tcPr>
          <w:p w14:paraId="03A5CF5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361</w:t>
            </w:r>
          </w:p>
        </w:tc>
        <w:tc>
          <w:tcPr>
            <w:tcW w:w="723" w:type="dxa"/>
            <w:shd w:val="clear" w:color="auto" w:fill="auto"/>
            <w:vAlign w:val="center"/>
          </w:tcPr>
          <w:p w14:paraId="732910AD">
            <w:pPr>
              <w:keepNext w:val="0"/>
              <w:keepLines w:val="0"/>
              <w:widowControl/>
              <w:suppressLineNumbers w:val="0"/>
              <w:spacing w:before="0" w:beforeAutospacing="0" w:after="0" w:afterAutospacing="0"/>
              <w:ind w:left="-60"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1、停炉；</w:t>
            </w:r>
          </w:p>
          <w:p w14:paraId="3D97549D">
            <w:pPr>
              <w:keepNext w:val="0"/>
              <w:keepLines w:val="0"/>
              <w:widowControl/>
              <w:suppressLineNumbers w:val="0"/>
              <w:spacing w:before="0" w:beforeAutospacing="0" w:after="0" w:afterAutospacing="0"/>
              <w:ind w:left="-60" w:right="0"/>
              <w:jc w:val="both"/>
              <w:rPr>
                <w:rFonts w:hint="eastAsia" w:ascii="Times New Roman" w:hAnsi="Times New Roman" w:cs="Times New Roman"/>
                <w:sz w:val="18"/>
                <w:szCs w:val="18"/>
              </w:rPr>
            </w:pPr>
            <w:r>
              <w:rPr>
                <w:rFonts w:hint="eastAsia" w:ascii="Times New Roman" w:hAnsi="Times New Roman" w:cs="Times New Roman"/>
                <w:sz w:val="18"/>
                <w:szCs w:val="18"/>
              </w:rPr>
              <w:t>2、工况波动；</w:t>
            </w:r>
          </w:p>
          <w:p w14:paraId="69345210">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2、主引风机故障</w:t>
            </w:r>
          </w:p>
        </w:tc>
      </w:tr>
      <w:tr w14:paraId="0B78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2F2886F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w:t>
            </w:r>
          </w:p>
        </w:tc>
        <w:tc>
          <w:tcPr>
            <w:tcW w:w="826" w:type="dxa"/>
            <w:shd w:val="clear" w:color="auto" w:fill="auto"/>
            <w:vAlign w:val="center"/>
          </w:tcPr>
          <w:p w14:paraId="4775F29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干熄焦烟气</w:t>
            </w:r>
          </w:p>
        </w:tc>
        <w:tc>
          <w:tcPr>
            <w:tcW w:w="1075" w:type="dxa"/>
            <w:shd w:val="clear" w:color="auto" w:fill="auto"/>
            <w:vAlign w:val="center"/>
          </w:tcPr>
          <w:p w14:paraId="208369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活性炭基催化剂脱硫</w:t>
            </w:r>
          </w:p>
        </w:tc>
        <w:tc>
          <w:tcPr>
            <w:tcW w:w="938" w:type="dxa"/>
            <w:shd w:val="clear" w:color="auto" w:fill="auto"/>
            <w:vAlign w:val="center"/>
          </w:tcPr>
          <w:p w14:paraId="67A599D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75" w:type="dxa"/>
            <w:shd w:val="clear" w:color="auto" w:fill="auto"/>
            <w:vAlign w:val="center"/>
          </w:tcPr>
          <w:p w14:paraId="2E5A259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41584</w:t>
            </w:r>
          </w:p>
        </w:tc>
        <w:tc>
          <w:tcPr>
            <w:tcW w:w="797" w:type="dxa"/>
            <w:shd w:val="clear" w:color="auto" w:fill="auto"/>
            <w:vAlign w:val="center"/>
          </w:tcPr>
          <w:p w14:paraId="617E9A3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146.25</w:t>
            </w:r>
          </w:p>
        </w:tc>
        <w:tc>
          <w:tcPr>
            <w:tcW w:w="903" w:type="dxa"/>
            <w:shd w:val="clear" w:color="auto" w:fill="auto"/>
            <w:vAlign w:val="center"/>
          </w:tcPr>
          <w:p w14:paraId="6ABD92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38.44</w:t>
            </w:r>
          </w:p>
        </w:tc>
        <w:tc>
          <w:tcPr>
            <w:tcW w:w="637" w:type="dxa"/>
            <w:shd w:val="clear" w:color="auto" w:fill="auto"/>
            <w:vAlign w:val="center"/>
          </w:tcPr>
          <w:p w14:paraId="71246F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50</w:t>
            </w:r>
          </w:p>
        </w:tc>
        <w:tc>
          <w:tcPr>
            <w:tcW w:w="637" w:type="dxa"/>
            <w:shd w:val="clear" w:color="auto" w:fill="auto"/>
            <w:vAlign w:val="center"/>
          </w:tcPr>
          <w:p w14:paraId="5415D8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99.84</w:t>
            </w:r>
          </w:p>
        </w:tc>
        <w:tc>
          <w:tcPr>
            <w:tcW w:w="723" w:type="dxa"/>
            <w:shd w:val="clear" w:color="auto" w:fill="auto"/>
            <w:vAlign w:val="center"/>
          </w:tcPr>
          <w:p w14:paraId="7A7FC25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66</w:t>
            </w:r>
          </w:p>
        </w:tc>
        <w:tc>
          <w:tcPr>
            <w:tcW w:w="723" w:type="dxa"/>
            <w:shd w:val="clear" w:color="auto" w:fill="auto"/>
            <w:vAlign w:val="center"/>
          </w:tcPr>
          <w:p w14:paraId="49F346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r w14:paraId="0066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5AE9FCA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w:t>
            </w:r>
          </w:p>
        </w:tc>
        <w:tc>
          <w:tcPr>
            <w:tcW w:w="826" w:type="dxa"/>
            <w:shd w:val="clear" w:color="auto" w:fill="auto"/>
            <w:vAlign w:val="center"/>
          </w:tcPr>
          <w:p w14:paraId="1AB083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推焦除尘烟气</w:t>
            </w:r>
          </w:p>
        </w:tc>
        <w:tc>
          <w:tcPr>
            <w:tcW w:w="1075" w:type="dxa"/>
            <w:shd w:val="clear" w:color="auto" w:fill="auto"/>
            <w:vAlign w:val="center"/>
          </w:tcPr>
          <w:p w14:paraId="7940C3E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w:t>
            </w:r>
          </w:p>
        </w:tc>
        <w:tc>
          <w:tcPr>
            <w:tcW w:w="938" w:type="dxa"/>
            <w:shd w:val="clear" w:color="auto" w:fill="auto"/>
            <w:vAlign w:val="center"/>
          </w:tcPr>
          <w:p w14:paraId="1E025C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75" w:type="dxa"/>
            <w:shd w:val="clear" w:color="auto" w:fill="auto"/>
            <w:vAlign w:val="center"/>
          </w:tcPr>
          <w:p w14:paraId="45926FB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43228</w:t>
            </w:r>
          </w:p>
        </w:tc>
        <w:tc>
          <w:tcPr>
            <w:tcW w:w="797" w:type="dxa"/>
            <w:shd w:val="clear" w:color="auto" w:fill="auto"/>
            <w:vAlign w:val="center"/>
          </w:tcPr>
          <w:p w14:paraId="4C9449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36.44</w:t>
            </w:r>
          </w:p>
        </w:tc>
        <w:tc>
          <w:tcPr>
            <w:tcW w:w="903" w:type="dxa"/>
            <w:shd w:val="clear" w:color="auto" w:fill="auto"/>
            <w:vAlign w:val="center"/>
          </w:tcPr>
          <w:p w14:paraId="699AA0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21.01</w:t>
            </w:r>
          </w:p>
        </w:tc>
        <w:tc>
          <w:tcPr>
            <w:tcW w:w="637" w:type="dxa"/>
            <w:shd w:val="clear" w:color="auto" w:fill="auto"/>
            <w:vAlign w:val="center"/>
          </w:tcPr>
          <w:p w14:paraId="75BD7D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30</w:t>
            </w:r>
          </w:p>
        </w:tc>
        <w:tc>
          <w:tcPr>
            <w:tcW w:w="637" w:type="dxa"/>
            <w:shd w:val="clear" w:color="auto" w:fill="auto"/>
            <w:vAlign w:val="center"/>
          </w:tcPr>
          <w:p w14:paraId="7D434E8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99.91</w:t>
            </w:r>
          </w:p>
        </w:tc>
        <w:tc>
          <w:tcPr>
            <w:tcW w:w="723" w:type="dxa"/>
            <w:shd w:val="clear" w:color="auto" w:fill="auto"/>
            <w:vAlign w:val="center"/>
          </w:tcPr>
          <w:p w14:paraId="2E1B85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37</w:t>
            </w:r>
          </w:p>
        </w:tc>
        <w:tc>
          <w:tcPr>
            <w:tcW w:w="723" w:type="dxa"/>
            <w:shd w:val="clear" w:color="auto" w:fill="auto"/>
            <w:vAlign w:val="center"/>
          </w:tcPr>
          <w:p w14:paraId="313AA5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r w14:paraId="6EC7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4B896A8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w:t>
            </w:r>
          </w:p>
        </w:tc>
        <w:tc>
          <w:tcPr>
            <w:tcW w:w="826" w:type="dxa"/>
            <w:shd w:val="clear" w:color="auto" w:fill="auto"/>
            <w:vAlign w:val="center"/>
          </w:tcPr>
          <w:p w14:paraId="40DA884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装煤除尘烟气</w:t>
            </w:r>
          </w:p>
        </w:tc>
        <w:tc>
          <w:tcPr>
            <w:tcW w:w="1075" w:type="dxa"/>
            <w:shd w:val="clear" w:color="auto" w:fill="auto"/>
            <w:vAlign w:val="center"/>
          </w:tcPr>
          <w:p w14:paraId="6854B3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袋式除尘器+预喷涂焦粉</w:t>
            </w:r>
          </w:p>
        </w:tc>
        <w:tc>
          <w:tcPr>
            <w:tcW w:w="938" w:type="dxa"/>
            <w:shd w:val="clear" w:color="auto" w:fill="auto"/>
            <w:vAlign w:val="center"/>
          </w:tcPr>
          <w:p w14:paraId="5853C0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75" w:type="dxa"/>
            <w:shd w:val="clear" w:color="auto" w:fill="auto"/>
            <w:vAlign w:val="center"/>
          </w:tcPr>
          <w:p w14:paraId="2CC2BC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25459</w:t>
            </w:r>
          </w:p>
        </w:tc>
        <w:tc>
          <w:tcPr>
            <w:tcW w:w="797" w:type="dxa"/>
            <w:shd w:val="clear" w:color="auto" w:fill="auto"/>
            <w:vAlign w:val="center"/>
          </w:tcPr>
          <w:p w14:paraId="0281BF9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18.79</w:t>
            </w:r>
          </w:p>
        </w:tc>
        <w:tc>
          <w:tcPr>
            <w:tcW w:w="903" w:type="dxa"/>
            <w:shd w:val="clear" w:color="auto" w:fill="auto"/>
            <w:vAlign w:val="center"/>
          </w:tcPr>
          <w:p w14:paraId="2D33F5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7.29</w:t>
            </w:r>
          </w:p>
        </w:tc>
        <w:tc>
          <w:tcPr>
            <w:tcW w:w="637" w:type="dxa"/>
            <w:shd w:val="clear" w:color="auto" w:fill="auto"/>
            <w:vAlign w:val="center"/>
          </w:tcPr>
          <w:p w14:paraId="2BD8140D">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40</w:t>
            </w:r>
          </w:p>
        </w:tc>
        <w:tc>
          <w:tcPr>
            <w:tcW w:w="637" w:type="dxa"/>
            <w:shd w:val="clear" w:color="auto" w:fill="auto"/>
            <w:vAlign w:val="center"/>
          </w:tcPr>
          <w:p w14:paraId="3594A2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723" w:type="dxa"/>
            <w:shd w:val="clear" w:color="auto" w:fill="auto"/>
            <w:vAlign w:val="center"/>
          </w:tcPr>
          <w:p w14:paraId="2DB0E28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c>
          <w:tcPr>
            <w:tcW w:w="723" w:type="dxa"/>
            <w:shd w:val="clear" w:color="auto" w:fill="auto"/>
            <w:vAlign w:val="center"/>
          </w:tcPr>
          <w:p w14:paraId="7848869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bl>
    <w:p w14:paraId="0FE5A661">
      <w:pPr>
        <w:spacing w:before="156" w:beforeLines="50"/>
        <w:jc w:val="center"/>
        <w:rPr>
          <w:rFonts w:ascii="Times New Roman" w:hAnsi="Times New Roman" w:eastAsia="仿宋_GB2312" w:cs="Times New Roman"/>
          <w:bCs/>
          <w:sz w:val="28"/>
          <w:szCs w:val="28"/>
        </w:rPr>
      </w:pPr>
      <w:r>
        <w:rPr>
          <w:rFonts w:ascii="Times New Roman" w:hAnsi="Times New Roman" w:eastAsia="仿宋_GB2312" w:cs="Times New Roman"/>
          <w:bCs/>
          <w:sz w:val="28"/>
          <w:szCs w:val="28"/>
        </w:rPr>
        <w:drawing>
          <wp:inline distT="0" distB="0" distL="0" distR="0">
            <wp:extent cx="4139565" cy="2339975"/>
            <wp:effectExtent l="0" t="0" r="0" b="3175"/>
            <wp:docPr id="12" name="图片 12" descr="C:\Users\ward\Documents\WeChat Files\wxid_4lgrxc31pbk621\FileStorage\Temp\38303ad8d112bf6403764ab9fe7a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ard\Documents\WeChat Files\wxid_4lgrxc31pbk621\FileStorage\Temp\38303ad8d112bf6403764ab9fe7af96.png"/>
                    <pic:cNvPicPr>
                      <a:picLocks noChangeAspect="1" noChangeArrowheads="1"/>
                    </pic:cNvPicPr>
                  </pic:nvPicPr>
                  <pic:blipFill>
                    <a:blip r:embed="rId21" cstate="print">
                      <a:extLst>
                        <a:ext uri="{28A0092B-C50C-407E-A947-70E740481C1C}">
                          <a14:useLocalDpi xmlns:a14="http://schemas.microsoft.com/office/drawing/2010/main" val="0"/>
                        </a:ext>
                      </a:extLst>
                    </a:blip>
                    <a:srcRect t="1787"/>
                    <a:stretch>
                      <a:fillRect/>
                    </a:stretch>
                  </pic:blipFill>
                  <pic:spPr>
                    <a:xfrm>
                      <a:off x="0" y="0"/>
                      <a:ext cx="4140000" cy="2340094"/>
                    </a:xfrm>
                    <a:prstGeom prst="rect">
                      <a:avLst/>
                    </a:prstGeom>
                    <a:noFill/>
                    <a:ln>
                      <a:noFill/>
                    </a:ln>
                  </pic:spPr>
                </pic:pic>
              </a:graphicData>
            </a:graphic>
          </wp:inline>
        </w:drawing>
      </w:r>
    </w:p>
    <w:p w14:paraId="62C99384">
      <w:pPr>
        <w:jc w:val="center"/>
        <w:rPr>
          <w:rFonts w:ascii="Times New Roman" w:hAnsi="Times New Roman" w:cs="Times New Roman"/>
          <w:bCs/>
          <w:sz w:val="28"/>
          <w:szCs w:val="28"/>
        </w:rPr>
      </w:pPr>
      <w:r>
        <w:rPr>
          <w:rFonts w:ascii="Times New Roman" w:hAnsi="Times New Roman" w:cs="Times New Roman"/>
          <w:b/>
          <w:bCs/>
          <w:color w:val="000000"/>
          <w:szCs w:val="32"/>
        </w:rPr>
        <w:t>图5-16  焦炉烟气排放口二氧化硫周期年历史数据图</w:t>
      </w:r>
    </w:p>
    <w:p w14:paraId="496BF350">
      <w:pPr>
        <w:jc w:val="center"/>
        <w:rPr>
          <w:rFonts w:ascii="Times New Roman" w:hAnsi="Times New Roman" w:eastAsia="仿宋_GB2312" w:cs="Times New Roman"/>
          <w:bCs/>
          <w:sz w:val="28"/>
          <w:szCs w:val="28"/>
        </w:rPr>
      </w:pPr>
    </w:p>
    <w:p w14:paraId="249E9987">
      <w:pPr>
        <w:jc w:val="center"/>
        <w:rPr>
          <w:rFonts w:hint="eastAsia" w:ascii="Times New Roman" w:hAnsi="Times New Roman" w:eastAsia="宋体" w:cs="Times New Roman"/>
          <w:b/>
          <w:bCs/>
          <w:color w:val="000000"/>
          <w:szCs w:val="32"/>
          <w:lang w:eastAsia="zh-CN"/>
        </w:rPr>
      </w:pPr>
      <w:r>
        <w:rPr>
          <w:rFonts w:hint="eastAsia" w:ascii="Times New Roman" w:hAnsi="Times New Roman" w:eastAsia="宋体" w:cs="Times New Roman"/>
          <w:b/>
          <w:bCs/>
          <w:color w:val="000000"/>
          <w:szCs w:val="32"/>
          <w:lang w:eastAsia="zh-CN"/>
        </w:rPr>
        <w:drawing>
          <wp:inline distT="0" distB="0" distL="114300" distR="114300">
            <wp:extent cx="4132580" cy="2334895"/>
            <wp:effectExtent l="0" t="0" r="1270" b="8255"/>
            <wp:docPr id="14" name="图片 14" descr="8427e7f02e1e1087f4cc857cd2e64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427e7f02e1e1087f4cc857cd2e64b42"/>
                    <pic:cNvPicPr>
                      <a:picLocks noChangeAspect="1"/>
                    </pic:cNvPicPr>
                  </pic:nvPicPr>
                  <pic:blipFill>
                    <a:blip r:embed="rId22"/>
                    <a:stretch>
                      <a:fillRect/>
                    </a:stretch>
                  </pic:blipFill>
                  <pic:spPr>
                    <a:xfrm>
                      <a:off x="0" y="0"/>
                      <a:ext cx="4132580" cy="2334895"/>
                    </a:xfrm>
                    <a:prstGeom prst="rect">
                      <a:avLst/>
                    </a:prstGeom>
                  </pic:spPr>
                </pic:pic>
              </a:graphicData>
            </a:graphic>
          </wp:inline>
        </w:drawing>
      </w:r>
    </w:p>
    <w:p w14:paraId="5592BAE1">
      <w:pPr>
        <w:jc w:val="center"/>
        <w:rPr>
          <w:rFonts w:ascii="Times New Roman" w:hAnsi="Times New Roman" w:cs="Times New Roman"/>
          <w:b/>
          <w:bCs/>
          <w:color w:val="000000"/>
          <w:szCs w:val="32"/>
        </w:rPr>
      </w:pPr>
      <w:r>
        <w:rPr>
          <w:rFonts w:ascii="Times New Roman" w:hAnsi="Times New Roman" w:cs="Times New Roman"/>
          <w:b/>
          <w:bCs/>
          <w:color w:val="000000"/>
          <w:szCs w:val="32"/>
        </w:rPr>
        <w:t>图5-17  装煤烟气排放口二氧化硫周期年历史数据图</w:t>
      </w:r>
    </w:p>
    <w:p w14:paraId="48D5AD10">
      <w:pPr>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142174365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43656" name="图片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636F353F">
      <w:pPr>
        <w:jc w:val="center"/>
        <w:rPr>
          <w:rFonts w:ascii="Times New Roman" w:hAnsi="Times New Roman" w:cs="Times New Roman"/>
          <w:bCs/>
          <w:sz w:val="28"/>
          <w:szCs w:val="28"/>
        </w:rPr>
      </w:pPr>
      <w:r>
        <w:rPr>
          <w:rFonts w:ascii="Times New Roman" w:hAnsi="Times New Roman" w:cs="Times New Roman"/>
          <w:b/>
          <w:bCs/>
          <w:color w:val="000000"/>
          <w:szCs w:val="32"/>
        </w:rPr>
        <w:t>图5-18  推焦烟气排放口二氧化硫周期年历史数据图</w:t>
      </w:r>
    </w:p>
    <w:p w14:paraId="02F83BED">
      <w:pPr>
        <w:jc w:val="center"/>
        <w:rPr>
          <w:rFonts w:ascii="Times New Roman" w:hAnsi="Times New Roman" w:cs="Times New Roman"/>
        </w:rPr>
      </w:pPr>
      <w:r>
        <w:rPr>
          <w:rFonts w:ascii="Times New Roman" w:hAnsi="Times New Roman" w:cs="Times New Roman"/>
        </w:rPr>
        <w:drawing>
          <wp:inline distT="0" distB="0" distL="0" distR="0">
            <wp:extent cx="4125595" cy="2480310"/>
            <wp:effectExtent l="19050" t="19050" r="27305" b="15240"/>
            <wp:docPr id="6983630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63057" name="图片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p>
    <w:p w14:paraId="22DA4C4F">
      <w:pPr>
        <w:jc w:val="center"/>
        <w:rPr>
          <w:rFonts w:ascii="Times New Roman" w:hAnsi="Times New Roman" w:cs="Times New Roman"/>
        </w:rPr>
      </w:pPr>
      <w:r>
        <w:rPr>
          <w:rFonts w:ascii="Times New Roman" w:hAnsi="Times New Roman" w:cs="Times New Roman"/>
          <w:b/>
          <w:bCs/>
          <w:color w:val="000000"/>
          <w:szCs w:val="32"/>
        </w:rPr>
        <w:t>图5-19  干熄焦烟气排放口二氧化硫周期年历史数据图</w:t>
      </w:r>
    </w:p>
    <w:p w14:paraId="7B62B361">
      <w:pPr>
        <w:pStyle w:val="35"/>
        <w:jc w:val="both"/>
        <w:rPr>
          <w:rFonts w:cs="Times New Roman"/>
        </w:rPr>
      </w:pPr>
    </w:p>
    <w:p w14:paraId="2203C451">
      <w:pPr>
        <w:pStyle w:val="35"/>
        <w:jc w:val="both"/>
        <w:rPr>
          <w:rFonts w:cs="Times New Roman"/>
        </w:rPr>
      </w:pPr>
      <w:r>
        <w:rPr>
          <w:rFonts w:cs="Times New Roman"/>
          <w:b/>
          <w:bCs/>
        </w:rPr>
        <w:t>焦炉烟气：</w:t>
      </w:r>
      <w:r>
        <w:rPr>
          <w:rFonts w:cs="Times New Roman"/>
        </w:rPr>
        <w:t>以焦炉煤气为燃料的焦炉烟气温度较高(200℃~320℃)，二氧化硫初始浓度一般约50mg/m</w:t>
      </w:r>
      <w:r>
        <w:rPr>
          <w:rFonts w:cs="Times New Roman"/>
          <w:vertAlign w:val="superscript"/>
        </w:rPr>
        <w:t>3</w:t>
      </w:r>
      <w:r>
        <w:rPr>
          <w:rFonts w:cs="Times New Roman"/>
        </w:rPr>
        <w:t>~300mg/m</w:t>
      </w:r>
      <w:r>
        <w:rPr>
          <w:rFonts w:cs="Times New Roman"/>
          <w:vertAlign w:val="superscript"/>
        </w:rPr>
        <w:t>3</w:t>
      </w:r>
      <w:r>
        <w:rPr>
          <w:rFonts w:cs="Times New Roman"/>
        </w:rPr>
        <w:t>；以高炉煤气或混合煤气为燃料的焦炉烟气温度较低(180℃-240℃)，二氧化硫初始浓度约50mg/m</w:t>
      </w:r>
      <w:r>
        <w:rPr>
          <w:rFonts w:cs="Times New Roman"/>
          <w:vertAlign w:val="superscript"/>
        </w:rPr>
        <w:t>3</w:t>
      </w:r>
      <w:r>
        <w:rPr>
          <w:rFonts w:cs="Times New Roman"/>
        </w:rPr>
        <w:t>~100mg/m</w:t>
      </w:r>
      <w:r>
        <w:rPr>
          <w:rFonts w:cs="Times New Roman"/>
          <w:vertAlign w:val="superscript"/>
        </w:rPr>
        <w:t>3</w:t>
      </w:r>
      <w:r>
        <w:rPr>
          <w:rFonts w:cs="Times New Roman"/>
        </w:rPr>
        <w:t>。目前焦炉烟气脱硫采用的技术包括湿法、干法、半干法、活性炭(焦)一体化等，半干法脱硫技术、干法脱硫技术、湿法脱硫技术均属于可行技术。</w:t>
      </w:r>
    </w:p>
    <w:p w14:paraId="4B25F3D0">
      <w:pPr>
        <w:pStyle w:val="35"/>
        <w:jc w:val="both"/>
        <w:rPr>
          <w:rFonts w:cs="Times New Roman"/>
        </w:rPr>
      </w:pPr>
      <w:r>
        <w:rPr>
          <w:rFonts w:cs="Times New Roman"/>
        </w:rPr>
        <w:t>根据企业实际调研运行情况，宝钢股份至少98.01%时间段内排放口烟气二氧化硫排放浓度可控制在50mg/m</w:t>
      </w:r>
      <w:r>
        <w:rPr>
          <w:rFonts w:cs="Times New Roman"/>
          <w:vertAlign w:val="superscript"/>
        </w:rPr>
        <w:t>3</w:t>
      </w:r>
      <w:r>
        <w:rPr>
          <w:rFonts w:cs="Times New Roman"/>
        </w:rPr>
        <w:t>以内。因此，拟定排放标准限值为50mg/m</w:t>
      </w:r>
      <w:r>
        <w:rPr>
          <w:rFonts w:cs="Times New Roman"/>
          <w:vertAlign w:val="superscript"/>
        </w:rPr>
        <w:t>3</w:t>
      </w:r>
      <w:r>
        <w:rPr>
          <w:rFonts w:cs="Times New Roman"/>
        </w:rPr>
        <w:t>可行。在运行过程中，需要重点关注增加备用脱硫设施或备用风机用以应对非正常工况，实现稳定达标。</w:t>
      </w:r>
    </w:p>
    <w:p w14:paraId="2B85C1E3">
      <w:pPr>
        <w:pStyle w:val="35"/>
        <w:jc w:val="both"/>
        <w:rPr>
          <w:rFonts w:cs="Times New Roman"/>
        </w:rPr>
      </w:pPr>
      <w:r>
        <w:rPr>
          <w:rFonts w:cs="Times New Roman"/>
          <w:b/>
          <w:bCs/>
        </w:rPr>
        <w:t>装煤、推焦烟气：</w:t>
      </w:r>
      <w:r>
        <w:rPr>
          <w:rFonts w:cs="Times New Roman"/>
        </w:rPr>
        <w:t>目前，国内钢铁焦化企业对于装煤、推焦烟气多数未采用脱硫措施，河北、河南等省份因地方更加严格的管理要求采用了脱硫措施。据宝钢股份企业实际调研运行情况，推焦烟气二氧化硫外排浓度99.91%时间段内</w:t>
      </w:r>
      <w:r>
        <w:rPr>
          <w:rFonts w:hint="eastAsia" w:cs="Times New Roman"/>
        </w:rPr>
        <w:t>可</w:t>
      </w:r>
      <w:r>
        <w:rPr>
          <w:rFonts w:cs="Times New Roman"/>
        </w:rPr>
        <w:t>稳定满足《焦化超低意见》30mg/m</w:t>
      </w:r>
      <w:r>
        <w:rPr>
          <w:rFonts w:cs="Times New Roman"/>
          <w:vertAlign w:val="superscript"/>
        </w:rPr>
        <w:t>3</w:t>
      </w:r>
      <w:r>
        <w:rPr>
          <w:rFonts w:cs="Times New Roman"/>
        </w:rPr>
        <w:t>要求</w:t>
      </w:r>
      <w:r>
        <w:rPr>
          <w:rFonts w:hint="eastAsia" w:cs="Times New Roman"/>
        </w:rPr>
        <w:t>；</w:t>
      </w:r>
      <w:r>
        <w:rPr>
          <w:rFonts w:cs="Times New Roman"/>
        </w:rPr>
        <w:t>装煤烟气日常运行数据</w:t>
      </w:r>
      <w:r>
        <w:rPr>
          <w:rFonts w:hint="eastAsia" w:cs="Times New Roman"/>
          <w:lang w:val="en-US" w:eastAsia="zh-CN"/>
        </w:rPr>
        <w:t>显著低于</w:t>
      </w:r>
      <w:r>
        <w:rPr>
          <w:rFonts w:cs="Times New Roman"/>
        </w:rPr>
        <w:t>《焦化超低意见》50mg/m</w:t>
      </w:r>
      <w:r>
        <w:rPr>
          <w:rFonts w:cs="Times New Roman"/>
          <w:vertAlign w:val="superscript"/>
        </w:rPr>
        <w:t>3</w:t>
      </w:r>
      <w:r>
        <w:rPr>
          <w:rFonts w:hint="eastAsia" w:cs="Times New Roman"/>
        </w:rPr>
        <w:t>限值</w:t>
      </w:r>
      <w:r>
        <w:rPr>
          <w:rFonts w:cs="Times New Roman"/>
        </w:rPr>
        <w:t>。因此，拟定装煤烟气二氧化硫排放标准限值为</w:t>
      </w:r>
      <w:r>
        <w:rPr>
          <w:rFonts w:hint="eastAsia" w:cs="Times New Roman"/>
          <w:lang w:val="en-US" w:eastAsia="zh-CN"/>
        </w:rPr>
        <w:t>4</w:t>
      </w:r>
      <w:r>
        <w:rPr>
          <w:rFonts w:cs="Times New Roman"/>
        </w:rPr>
        <w:t>0mg/m</w:t>
      </w:r>
      <w:r>
        <w:rPr>
          <w:rFonts w:cs="Times New Roman"/>
          <w:vertAlign w:val="superscript"/>
        </w:rPr>
        <w:t>3</w:t>
      </w:r>
      <w:r>
        <w:rPr>
          <w:rFonts w:cs="Times New Roman"/>
        </w:rPr>
        <w:t>、推焦烟气二氧化硫排放标准限值为30mg/m</w:t>
      </w:r>
      <w:r>
        <w:rPr>
          <w:rFonts w:cs="Times New Roman"/>
          <w:vertAlign w:val="superscript"/>
        </w:rPr>
        <w:t>3</w:t>
      </w:r>
      <w:r>
        <w:rPr>
          <w:rFonts w:cs="Times New Roman"/>
        </w:rPr>
        <w:t>可行。</w:t>
      </w:r>
    </w:p>
    <w:p w14:paraId="37EF28F6">
      <w:pPr>
        <w:pStyle w:val="35"/>
        <w:jc w:val="both"/>
        <w:rPr>
          <w:rFonts w:cs="Times New Roman"/>
        </w:rPr>
      </w:pPr>
      <w:r>
        <w:rPr>
          <w:rFonts w:cs="Times New Roman"/>
          <w:b/>
          <w:bCs/>
        </w:rPr>
        <w:t>干熄焦烟气：</w:t>
      </w:r>
      <w:r>
        <w:rPr>
          <w:rFonts w:cs="Times New Roman"/>
        </w:rPr>
        <w:t>干熄焦烟气主要分为环境除尘以及高含硫烟气两类，通过对预存室及排出装置高含硫废气单独收集治理，采用干法、半干法及湿法脱硫技术，均可实现达标排放。环境除尘废气无需单独脱硫处理，亦可稳定满足标准限值要求。据宝钢股份企业实际调研运行情况，采用活性炭基催化剂脱硫技术治理后，99.84%时间段内二氧化硫外排浓度可稳定满足《焦化超低意见》50mg/m</w:t>
      </w:r>
      <w:r>
        <w:rPr>
          <w:rFonts w:cs="Times New Roman"/>
          <w:vertAlign w:val="superscript"/>
        </w:rPr>
        <w:t>3</w:t>
      </w:r>
      <w:r>
        <w:rPr>
          <w:rFonts w:cs="Times New Roman"/>
        </w:rPr>
        <w:t>要求。因此，拟定干熄焦烟气二氧化硫排放标准限值为50mg/m</w:t>
      </w:r>
      <w:r>
        <w:rPr>
          <w:rFonts w:cs="Times New Roman"/>
          <w:vertAlign w:val="superscript"/>
        </w:rPr>
        <w:t>3</w:t>
      </w:r>
      <w:r>
        <w:rPr>
          <w:rFonts w:cs="Times New Roman"/>
        </w:rPr>
        <w:t>可行。</w:t>
      </w:r>
    </w:p>
    <w:p w14:paraId="7C583CD2">
      <w:pPr>
        <w:pStyle w:val="35"/>
        <w:jc w:val="both"/>
        <w:rPr>
          <w:rFonts w:cs="Times New Roman"/>
          <w:bCs/>
        </w:rPr>
      </w:pPr>
      <w:r>
        <w:rPr>
          <w:rFonts w:hint="eastAsia" w:cs="Times New Roman"/>
          <w:bCs/>
        </w:rPr>
        <w:t>宝武碳业</w:t>
      </w:r>
      <w:r>
        <w:rPr>
          <w:rFonts w:cs="Times New Roman"/>
          <w:bCs/>
        </w:rPr>
        <w:t>2022年11月～2025年6月焦化工序燃用煤气的管式炉、脱硫制酸装置废气二氧化硫人工监测数据统计结果如下：</w:t>
      </w:r>
    </w:p>
    <w:p w14:paraId="3D234A7B">
      <w:pPr>
        <w:spacing w:line="235" w:lineRule="auto"/>
        <w:jc w:val="center"/>
        <w:rPr>
          <w:rFonts w:ascii="Times New Roman" w:hAnsi="Times New Roman" w:cs="Times New Roman"/>
          <w:b/>
          <w:bCs/>
          <w:sz w:val="22"/>
          <w:szCs w:val="28"/>
        </w:rPr>
      </w:pPr>
      <w:r>
        <w:rPr>
          <w:rFonts w:ascii="Times New Roman" w:hAnsi="Times New Roman" w:cs="Times New Roman"/>
          <w:b/>
          <w:bCs/>
          <w:sz w:val="22"/>
          <w:szCs w:val="28"/>
        </w:rPr>
        <w:t>表5-6-2 焦化工序燃用煤气的管式炉废气二氧化硫人工监测数据达标情况一览表</w:t>
      </w:r>
    </w:p>
    <w:tbl>
      <w:tblPr>
        <w:tblStyle w:val="27"/>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849"/>
        <w:gridCol w:w="1104"/>
        <w:gridCol w:w="964"/>
        <w:gridCol w:w="693"/>
        <w:gridCol w:w="819"/>
        <w:gridCol w:w="928"/>
        <w:gridCol w:w="654"/>
        <w:gridCol w:w="654"/>
        <w:gridCol w:w="743"/>
        <w:gridCol w:w="743"/>
      </w:tblGrid>
      <w:tr w14:paraId="7283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dxa"/>
            <w:shd w:val="clear" w:color="auto" w:fill="auto"/>
            <w:vAlign w:val="center"/>
          </w:tcPr>
          <w:p w14:paraId="5A680C7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849" w:type="dxa"/>
            <w:shd w:val="clear" w:color="auto" w:fill="auto"/>
            <w:vAlign w:val="center"/>
          </w:tcPr>
          <w:p w14:paraId="0029EDD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有组织</w:t>
            </w:r>
          </w:p>
          <w:p w14:paraId="4ECCB14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排放源</w:t>
            </w:r>
          </w:p>
        </w:tc>
        <w:tc>
          <w:tcPr>
            <w:tcW w:w="1104" w:type="dxa"/>
            <w:shd w:val="clear" w:color="auto" w:fill="auto"/>
            <w:vAlign w:val="center"/>
          </w:tcPr>
          <w:p w14:paraId="7ED0F7A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964" w:type="dxa"/>
            <w:shd w:val="clear" w:color="auto" w:fill="auto"/>
            <w:vAlign w:val="center"/>
          </w:tcPr>
          <w:p w14:paraId="6121AB6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93" w:type="dxa"/>
            <w:shd w:val="clear" w:color="auto" w:fill="auto"/>
            <w:vAlign w:val="center"/>
          </w:tcPr>
          <w:p w14:paraId="6846333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20C2D3B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819" w:type="dxa"/>
            <w:shd w:val="clear" w:color="auto" w:fill="auto"/>
            <w:vAlign w:val="center"/>
          </w:tcPr>
          <w:p w14:paraId="3089476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65AE7E9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28" w:type="dxa"/>
            <w:shd w:val="clear" w:color="auto" w:fill="auto"/>
            <w:vAlign w:val="center"/>
          </w:tcPr>
          <w:p w14:paraId="55B7F04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95%时间段</w:t>
            </w:r>
          </w:p>
          <w:p w14:paraId="7CF24DF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54" w:type="dxa"/>
            <w:shd w:val="clear" w:color="auto" w:fill="auto"/>
            <w:vAlign w:val="center"/>
          </w:tcPr>
          <w:p w14:paraId="7163AAB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拟定标准限值</w:t>
            </w:r>
          </w:p>
        </w:tc>
        <w:tc>
          <w:tcPr>
            <w:tcW w:w="654" w:type="dxa"/>
            <w:shd w:val="clear" w:color="auto" w:fill="auto"/>
            <w:vAlign w:val="center"/>
          </w:tcPr>
          <w:p w14:paraId="12306F0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43" w:type="dxa"/>
            <w:shd w:val="clear" w:color="auto" w:fill="auto"/>
            <w:vAlign w:val="center"/>
          </w:tcPr>
          <w:p w14:paraId="486642E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7CD16A9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743" w:type="dxa"/>
            <w:shd w:val="clear" w:color="auto" w:fill="auto"/>
            <w:vAlign w:val="center"/>
          </w:tcPr>
          <w:p w14:paraId="47C752B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205C57F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41CB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72" w:type="dxa"/>
            <w:shd w:val="clear" w:color="auto" w:fill="auto"/>
            <w:vAlign w:val="center"/>
          </w:tcPr>
          <w:p w14:paraId="446289A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849" w:type="dxa"/>
            <w:shd w:val="clear" w:color="auto" w:fill="auto"/>
            <w:vAlign w:val="center"/>
          </w:tcPr>
          <w:p w14:paraId="4484107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管式炉等燃用煤气的设施</w:t>
            </w:r>
          </w:p>
        </w:tc>
        <w:tc>
          <w:tcPr>
            <w:tcW w:w="1104" w:type="dxa"/>
            <w:shd w:val="clear" w:color="auto" w:fill="auto"/>
            <w:vAlign w:val="center"/>
          </w:tcPr>
          <w:p w14:paraId="524A8A6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焦炉煤气脱硫、脱氨、脱氰净化处理，低氮燃烧</w:t>
            </w:r>
          </w:p>
        </w:tc>
        <w:tc>
          <w:tcPr>
            <w:tcW w:w="964" w:type="dxa"/>
            <w:shd w:val="clear" w:color="auto" w:fill="auto"/>
            <w:vAlign w:val="center"/>
          </w:tcPr>
          <w:p w14:paraId="4032330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93" w:type="dxa"/>
            <w:shd w:val="clear" w:color="auto" w:fill="auto"/>
            <w:vAlign w:val="center"/>
          </w:tcPr>
          <w:p w14:paraId="15D3451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19</w:t>
            </w:r>
          </w:p>
        </w:tc>
        <w:tc>
          <w:tcPr>
            <w:tcW w:w="819" w:type="dxa"/>
            <w:shd w:val="clear" w:color="auto" w:fill="auto"/>
            <w:vAlign w:val="center"/>
          </w:tcPr>
          <w:p w14:paraId="2F64270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29</w:t>
            </w:r>
          </w:p>
        </w:tc>
        <w:tc>
          <w:tcPr>
            <w:tcW w:w="928" w:type="dxa"/>
            <w:shd w:val="clear" w:color="auto" w:fill="auto"/>
            <w:vAlign w:val="center"/>
          </w:tcPr>
          <w:p w14:paraId="4AEBD34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27</w:t>
            </w:r>
          </w:p>
        </w:tc>
        <w:tc>
          <w:tcPr>
            <w:tcW w:w="654" w:type="dxa"/>
            <w:shd w:val="clear" w:color="auto" w:fill="auto"/>
            <w:vAlign w:val="center"/>
          </w:tcPr>
          <w:p w14:paraId="0B49C09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30</w:t>
            </w:r>
          </w:p>
        </w:tc>
        <w:tc>
          <w:tcPr>
            <w:tcW w:w="654" w:type="dxa"/>
            <w:shd w:val="clear" w:color="auto" w:fill="auto"/>
            <w:vAlign w:val="center"/>
          </w:tcPr>
          <w:p w14:paraId="76EF06A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743" w:type="dxa"/>
            <w:shd w:val="clear" w:color="auto" w:fill="auto"/>
            <w:vAlign w:val="center"/>
          </w:tcPr>
          <w:p w14:paraId="56844AC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c>
          <w:tcPr>
            <w:tcW w:w="743" w:type="dxa"/>
            <w:shd w:val="clear" w:color="auto" w:fill="auto"/>
            <w:vAlign w:val="center"/>
          </w:tcPr>
          <w:p w14:paraId="4B035E3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r w14:paraId="6B0B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72" w:type="dxa"/>
            <w:shd w:val="clear" w:color="auto" w:fill="auto"/>
            <w:vAlign w:val="center"/>
          </w:tcPr>
          <w:p w14:paraId="6249AFC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2</w:t>
            </w:r>
          </w:p>
        </w:tc>
        <w:tc>
          <w:tcPr>
            <w:tcW w:w="849" w:type="dxa"/>
            <w:shd w:val="clear" w:color="auto" w:fill="auto"/>
            <w:vAlign w:val="center"/>
          </w:tcPr>
          <w:p w14:paraId="5DB237E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脱硫制酸装置</w:t>
            </w:r>
          </w:p>
        </w:tc>
        <w:tc>
          <w:tcPr>
            <w:tcW w:w="1104" w:type="dxa"/>
            <w:shd w:val="clear" w:color="auto" w:fill="auto"/>
            <w:vAlign w:val="center"/>
          </w:tcPr>
          <w:p w14:paraId="54F752C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超重力脱硫、电除雾</w:t>
            </w:r>
          </w:p>
        </w:tc>
        <w:tc>
          <w:tcPr>
            <w:tcW w:w="964" w:type="dxa"/>
            <w:shd w:val="clear" w:color="auto" w:fill="auto"/>
            <w:vAlign w:val="center"/>
          </w:tcPr>
          <w:p w14:paraId="13ED464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93" w:type="dxa"/>
            <w:shd w:val="clear" w:color="auto" w:fill="auto"/>
            <w:vAlign w:val="center"/>
          </w:tcPr>
          <w:p w14:paraId="6603D01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38</w:t>
            </w:r>
          </w:p>
        </w:tc>
        <w:tc>
          <w:tcPr>
            <w:tcW w:w="819" w:type="dxa"/>
            <w:shd w:val="clear" w:color="auto" w:fill="auto"/>
            <w:vAlign w:val="center"/>
          </w:tcPr>
          <w:p w14:paraId="49AC577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4</w:t>
            </w:r>
          </w:p>
        </w:tc>
        <w:tc>
          <w:tcPr>
            <w:tcW w:w="928" w:type="dxa"/>
            <w:shd w:val="clear" w:color="auto" w:fill="auto"/>
            <w:vAlign w:val="center"/>
          </w:tcPr>
          <w:p w14:paraId="33EAA9E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1.5</w:t>
            </w:r>
          </w:p>
        </w:tc>
        <w:tc>
          <w:tcPr>
            <w:tcW w:w="654" w:type="dxa"/>
            <w:shd w:val="clear" w:color="auto" w:fill="auto"/>
            <w:vAlign w:val="center"/>
          </w:tcPr>
          <w:p w14:paraId="35D3C7F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654" w:type="dxa"/>
            <w:shd w:val="clear" w:color="auto" w:fill="auto"/>
            <w:vAlign w:val="center"/>
          </w:tcPr>
          <w:p w14:paraId="6F67D96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743" w:type="dxa"/>
            <w:shd w:val="clear" w:color="auto" w:fill="auto"/>
            <w:vAlign w:val="center"/>
          </w:tcPr>
          <w:p w14:paraId="2975908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c>
          <w:tcPr>
            <w:tcW w:w="743" w:type="dxa"/>
            <w:shd w:val="clear" w:color="auto" w:fill="auto"/>
            <w:vAlign w:val="center"/>
          </w:tcPr>
          <w:p w14:paraId="2750E53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bl>
    <w:p w14:paraId="47FA748C">
      <w:pPr>
        <w:pStyle w:val="35"/>
        <w:jc w:val="both"/>
        <w:rPr>
          <w:rFonts w:cs="Times New Roman"/>
        </w:rPr>
      </w:pPr>
      <w:r>
        <w:rPr>
          <w:rFonts w:cs="Times New Roman"/>
          <w:b/>
          <w:bCs/>
        </w:rPr>
        <w:t>管式炉等燃用煤气的设施烟气：</w:t>
      </w:r>
      <w:r>
        <w:rPr>
          <w:rFonts w:cs="Times New Roman"/>
        </w:rPr>
        <w:t>目前，国内钢焦联合焦化企业、独立焦化企业对于管式炉等燃用煤气的设施烟气多数未采用脱硫措施，根据宝武碳业企业实际调研运行情况，管式炉等燃用煤气的设施烟气二氧化硫外排浓度虽然100%时间段内能满足30mg/m</w:t>
      </w:r>
      <w:r>
        <w:rPr>
          <w:rFonts w:cs="Times New Roman"/>
          <w:vertAlign w:val="superscript"/>
        </w:rPr>
        <w:t>3</w:t>
      </w:r>
      <w:r>
        <w:rPr>
          <w:rFonts w:cs="Times New Roman"/>
        </w:rPr>
        <w:t>要求，但管式炉外排烟气的污染物浓度受制于焦炉荒煤气脱硫净化设施运行效率、运行稳定性等因素影响，管式炉外排烟气中二氧化硫的浓度仍存在</w:t>
      </w:r>
      <w:r>
        <w:rPr>
          <w:rFonts w:hint="eastAsia" w:cs="Times New Roman"/>
        </w:rPr>
        <w:t>超</w:t>
      </w:r>
      <w:r>
        <w:rPr>
          <w:rFonts w:cs="Times New Roman"/>
        </w:rPr>
        <w:t>标的风险，宝武碳业目前正在推进焦化企业超低排放改造工作，拟立项实施管式炉清洁燃料替代（将焦炉煤气更改为清洁燃料天然气）改造项目，以实现二氧化硫外排浓度稳定满足30mg/m</w:t>
      </w:r>
      <w:r>
        <w:rPr>
          <w:rFonts w:cs="Times New Roman"/>
          <w:vertAlign w:val="superscript"/>
        </w:rPr>
        <w:t>3</w:t>
      </w:r>
      <w:r>
        <w:rPr>
          <w:rFonts w:cs="Times New Roman"/>
        </w:rPr>
        <w:t>要求。</w:t>
      </w:r>
    </w:p>
    <w:p w14:paraId="0C9FB73E">
      <w:pPr>
        <w:pStyle w:val="35"/>
        <w:jc w:val="both"/>
        <w:rPr>
          <w:rFonts w:cs="Times New Roman"/>
        </w:rPr>
      </w:pPr>
      <w:r>
        <w:rPr>
          <w:rFonts w:cs="Times New Roman"/>
          <w:b/>
          <w:bCs/>
        </w:rPr>
        <w:t>脱硫制酸装置烟气</w:t>
      </w:r>
      <w:r>
        <w:rPr>
          <w:rFonts w:cs="Times New Roman"/>
        </w:rPr>
        <w:t>：根据宝武碳业企业实际调研运行情况，脱硫制酸装置尾气采用超重力脱硫、电除雾器处理工艺，设施烟气二氧化硫外排浓度100%时间段内能满足100mg/m</w:t>
      </w:r>
      <w:r>
        <w:rPr>
          <w:rFonts w:cs="Times New Roman"/>
          <w:vertAlign w:val="superscript"/>
        </w:rPr>
        <w:t>3</w:t>
      </w:r>
      <w:r>
        <w:rPr>
          <w:rFonts w:cs="Times New Roman"/>
        </w:rPr>
        <w:t>要求，因此，拟定脱硫制酸装置烟气二氧化硫排放标准限值为100mg/m</w:t>
      </w:r>
      <w:r>
        <w:rPr>
          <w:rFonts w:cs="Times New Roman"/>
          <w:vertAlign w:val="superscript"/>
        </w:rPr>
        <w:t>3</w:t>
      </w:r>
      <w:r>
        <w:rPr>
          <w:rFonts w:cs="Times New Roman"/>
        </w:rPr>
        <w:t>可行。</w:t>
      </w:r>
    </w:p>
    <w:p w14:paraId="681C003E">
      <w:pPr>
        <w:pStyle w:val="35"/>
        <w:rPr>
          <w:rFonts w:cs="Times New Roman"/>
        </w:rPr>
      </w:pPr>
      <w:r>
        <w:rPr>
          <w:rFonts w:cs="Times New Roman"/>
        </w:rPr>
        <w:t>（3）炼铁、轧钢</w:t>
      </w:r>
      <w:r>
        <w:rPr>
          <w:rFonts w:hint="eastAsia" w:cs="Times New Roman"/>
        </w:rPr>
        <w:t>、转底炉</w:t>
      </w:r>
      <w:r>
        <w:rPr>
          <w:rFonts w:cs="Times New Roman"/>
        </w:rPr>
        <w:t>工序</w:t>
      </w:r>
    </w:p>
    <w:p w14:paraId="4AE142B4">
      <w:pPr>
        <w:pStyle w:val="35"/>
        <w:jc w:val="both"/>
        <w:rPr>
          <w:rFonts w:cs="Times New Roman"/>
        </w:rPr>
      </w:pPr>
      <w:r>
        <w:rPr>
          <w:rFonts w:cs="Times New Roman"/>
        </w:rPr>
        <w:t>宝钢股份2023年10月～2024年9月高炉热风炉、轧钢热处理炉废气二氧化硫在线监测数据统计结果如下：</w:t>
      </w:r>
    </w:p>
    <w:p w14:paraId="1E4BE48B">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表5-7  高炉热风炉、轧钢热处理炉二氧化硫在线监测数据达标情况一览表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1080"/>
        <w:gridCol w:w="1311"/>
        <w:gridCol w:w="582"/>
        <w:gridCol w:w="637"/>
        <w:gridCol w:w="965"/>
        <w:gridCol w:w="1019"/>
        <w:gridCol w:w="582"/>
        <w:gridCol w:w="728"/>
        <w:gridCol w:w="582"/>
        <w:gridCol w:w="664"/>
      </w:tblGrid>
      <w:tr w14:paraId="75C5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39CDAC9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1051" w:type="dxa"/>
            <w:shd w:val="clear" w:color="auto" w:fill="auto"/>
            <w:vAlign w:val="center"/>
          </w:tcPr>
          <w:p w14:paraId="3D2B68B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w:t>
            </w:r>
          </w:p>
          <w:p w14:paraId="5D3CDD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排放源</w:t>
            </w:r>
          </w:p>
        </w:tc>
        <w:tc>
          <w:tcPr>
            <w:tcW w:w="1276" w:type="dxa"/>
            <w:shd w:val="clear" w:color="auto" w:fill="auto"/>
            <w:vAlign w:val="center"/>
          </w:tcPr>
          <w:p w14:paraId="426F05F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567" w:type="dxa"/>
            <w:shd w:val="clear" w:color="auto" w:fill="auto"/>
            <w:vAlign w:val="center"/>
          </w:tcPr>
          <w:p w14:paraId="1E79BD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20" w:type="dxa"/>
            <w:shd w:val="clear" w:color="auto" w:fill="auto"/>
            <w:vAlign w:val="center"/>
          </w:tcPr>
          <w:p w14:paraId="2E28A6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538EF56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939" w:type="dxa"/>
            <w:shd w:val="clear" w:color="auto" w:fill="auto"/>
            <w:vAlign w:val="center"/>
          </w:tcPr>
          <w:p w14:paraId="64B2A45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70AD921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92" w:type="dxa"/>
            <w:shd w:val="clear" w:color="auto" w:fill="auto"/>
            <w:vAlign w:val="center"/>
          </w:tcPr>
          <w:p w14:paraId="258C635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95%时间段最大值（mg/m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567" w:type="dxa"/>
            <w:shd w:val="clear" w:color="auto" w:fill="auto"/>
            <w:vAlign w:val="center"/>
          </w:tcPr>
          <w:p w14:paraId="46C0F2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拟定标准限值</w:t>
            </w:r>
          </w:p>
        </w:tc>
        <w:tc>
          <w:tcPr>
            <w:tcW w:w="709" w:type="dxa"/>
            <w:shd w:val="clear" w:color="auto" w:fill="auto"/>
            <w:vAlign w:val="center"/>
          </w:tcPr>
          <w:p w14:paraId="70DC9C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567" w:type="dxa"/>
            <w:shd w:val="clear" w:color="auto" w:fill="auto"/>
            <w:vAlign w:val="center"/>
          </w:tcPr>
          <w:p w14:paraId="74536FD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超标数据量</w:t>
            </w:r>
          </w:p>
        </w:tc>
        <w:tc>
          <w:tcPr>
            <w:tcW w:w="646" w:type="dxa"/>
            <w:shd w:val="clear" w:color="auto" w:fill="auto"/>
            <w:vAlign w:val="center"/>
          </w:tcPr>
          <w:p w14:paraId="666660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7CAEB20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43E0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5E4D69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1051" w:type="dxa"/>
            <w:shd w:val="clear" w:color="auto" w:fill="auto"/>
            <w:vAlign w:val="center"/>
          </w:tcPr>
          <w:p w14:paraId="104868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热风炉烟气</w:t>
            </w:r>
          </w:p>
        </w:tc>
        <w:tc>
          <w:tcPr>
            <w:tcW w:w="1276" w:type="dxa"/>
            <w:shd w:val="clear" w:color="auto" w:fill="auto"/>
            <w:vAlign w:val="center"/>
          </w:tcPr>
          <w:p w14:paraId="4D6BDB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净化后煤气+钙基固定床脱硫</w:t>
            </w:r>
          </w:p>
        </w:tc>
        <w:tc>
          <w:tcPr>
            <w:tcW w:w="567" w:type="dxa"/>
            <w:shd w:val="clear" w:color="auto" w:fill="auto"/>
            <w:vAlign w:val="center"/>
          </w:tcPr>
          <w:p w14:paraId="10D874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20" w:type="dxa"/>
            <w:shd w:val="clear" w:color="auto" w:fill="auto"/>
            <w:vAlign w:val="center"/>
          </w:tcPr>
          <w:p w14:paraId="0202082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34005</w:t>
            </w:r>
          </w:p>
        </w:tc>
        <w:tc>
          <w:tcPr>
            <w:tcW w:w="939" w:type="dxa"/>
            <w:shd w:val="clear" w:color="auto" w:fill="auto"/>
            <w:vAlign w:val="center"/>
          </w:tcPr>
          <w:p w14:paraId="34315A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71.01</w:t>
            </w:r>
          </w:p>
        </w:tc>
        <w:tc>
          <w:tcPr>
            <w:tcW w:w="992" w:type="dxa"/>
            <w:shd w:val="clear" w:color="auto" w:fill="auto"/>
            <w:vAlign w:val="center"/>
          </w:tcPr>
          <w:p w14:paraId="38E097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43.95</w:t>
            </w:r>
          </w:p>
        </w:tc>
        <w:tc>
          <w:tcPr>
            <w:tcW w:w="567" w:type="dxa"/>
            <w:shd w:val="clear" w:color="auto" w:fill="auto"/>
            <w:vAlign w:val="center"/>
          </w:tcPr>
          <w:p w14:paraId="6511C5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50</w:t>
            </w:r>
          </w:p>
        </w:tc>
        <w:tc>
          <w:tcPr>
            <w:tcW w:w="709" w:type="dxa"/>
            <w:shd w:val="clear" w:color="auto" w:fill="auto"/>
            <w:vAlign w:val="center"/>
          </w:tcPr>
          <w:p w14:paraId="2C3CF10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99.74</w:t>
            </w:r>
          </w:p>
        </w:tc>
        <w:tc>
          <w:tcPr>
            <w:tcW w:w="567" w:type="dxa"/>
            <w:shd w:val="clear" w:color="auto" w:fill="auto"/>
            <w:vAlign w:val="center"/>
          </w:tcPr>
          <w:p w14:paraId="6ED53C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90</w:t>
            </w:r>
          </w:p>
        </w:tc>
        <w:tc>
          <w:tcPr>
            <w:tcW w:w="646" w:type="dxa"/>
            <w:vMerge w:val="restart"/>
            <w:shd w:val="clear" w:color="auto" w:fill="auto"/>
            <w:vAlign w:val="center"/>
          </w:tcPr>
          <w:p w14:paraId="3C4A9584">
            <w:pPr>
              <w:keepNext w:val="0"/>
              <w:keepLines w:val="0"/>
              <w:widowControl/>
              <w:suppressLineNumbers w:val="0"/>
              <w:spacing w:before="0" w:beforeAutospacing="0" w:after="0" w:afterAutospacing="0"/>
              <w:ind w:left="-60"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1、启、停炉；</w:t>
            </w:r>
          </w:p>
          <w:p w14:paraId="0A354779">
            <w:pPr>
              <w:keepNext w:val="0"/>
              <w:keepLines w:val="0"/>
              <w:widowControl/>
              <w:suppressLineNumbers w:val="0"/>
              <w:spacing w:before="0" w:beforeAutospacing="0" w:after="0" w:afterAutospacing="0"/>
              <w:ind w:left="-60" w:right="0"/>
              <w:rPr>
                <w:rFonts w:hint="eastAsia" w:ascii="Times New Roman" w:hAnsi="Times New Roman" w:cs="Times New Roman"/>
                <w:sz w:val="18"/>
                <w:szCs w:val="18"/>
              </w:rPr>
            </w:pPr>
            <w:r>
              <w:rPr>
                <w:rFonts w:hint="eastAsia" w:ascii="Times New Roman" w:hAnsi="Times New Roman" w:cs="Times New Roman"/>
                <w:sz w:val="18"/>
                <w:szCs w:val="18"/>
              </w:rPr>
              <w:t>2、熄火故障；</w:t>
            </w:r>
          </w:p>
          <w:p w14:paraId="43A54DD7">
            <w:pPr>
              <w:keepNext w:val="0"/>
              <w:keepLines w:val="0"/>
              <w:widowControl/>
              <w:suppressLineNumbers w:val="0"/>
              <w:spacing w:before="0" w:beforeAutospacing="0" w:after="0" w:afterAutospacing="0"/>
              <w:ind w:left="-60" w:right="0"/>
              <w:rPr>
                <w:rFonts w:hint="eastAsia" w:ascii="Times New Roman" w:hAnsi="Times New Roman" w:cs="Times New Roman"/>
                <w:sz w:val="18"/>
                <w:szCs w:val="18"/>
              </w:rPr>
            </w:pPr>
            <w:r>
              <w:rPr>
                <w:rFonts w:hint="eastAsia" w:ascii="Times New Roman" w:hAnsi="Times New Roman" w:cs="Times New Roman"/>
                <w:sz w:val="18"/>
                <w:szCs w:val="18"/>
              </w:rPr>
              <w:t>3、工况波动</w:t>
            </w:r>
          </w:p>
        </w:tc>
      </w:tr>
      <w:tr w14:paraId="74F9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2F84B0D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w:t>
            </w:r>
          </w:p>
        </w:tc>
        <w:tc>
          <w:tcPr>
            <w:tcW w:w="1051" w:type="dxa"/>
            <w:shd w:val="clear" w:color="auto" w:fill="auto"/>
            <w:vAlign w:val="center"/>
          </w:tcPr>
          <w:p w14:paraId="212C040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退火炉、烘烤炉废气</w:t>
            </w:r>
          </w:p>
        </w:tc>
        <w:tc>
          <w:tcPr>
            <w:tcW w:w="1276" w:type="dxa"/>
            <w:shd w:val="clear" w:color="auto" w:fill="auto"/>
            <w:vAlign w:val="center"/>
          </w:tcPr>
          <w:p w14:paraId="3B7269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燃用净化煤气</w:t>
            </w:r>
          </w:p>
        </w:tc>
        <w:tc>
          <w:tcPr>
            <w:tcW w:w="567" w:type="dxa"/>
            <w:shd w:val="clear" w:color="auto" w:fill="auto"/>
            <w:vAlign w:val="center"/>
          </w:tcPr>
          <w:p w14:paraId="3C1F302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20" w:type="dxa"/>
            <w:shd w:val="clear" w:color="auto" w:fill="auto"/>
            <w:vAlign w:val="center"/>
          </w:tcPr>
          <w:p w14:paraId="4C0792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184685</w:t>
            </w:r>
          </w:p>
        </w:tc>
        <w:tc>
          <w:tcPr>
            <w:tcW w:w="939" w:type="dxa"/>
            <w:shd w:val="clear" w:color="auto" w:fill="auto"/>
            <w:vAlign w:val="center"/>
          </w:tcPr>
          <w:p w14:paraId="03D7E1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7291</w:t>
            </w:r>
          </w:p>
        </w:tc>
        <w:tc>
          <w:tcPr>
            <w:tcW w:w="992" w:type="dxa"/>
            <w:shd w:val="clear" w:color="auto" w:fill="auto"/>
            <w:vAlign w:val="center"/>
          </w:tcPr>
          <w:p w14:paraId="060EB8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25.7</w:t>
            </w:r>
          </w:p>
        </w:tc>
        <w:tc>
          <w:tcPr>
            <w:tcW w:w="567" w:type="dxa"/>
            <w:shd w:val="clear" w:color="auto" w:fill="auto"/>
            <w:vAlign w:val="center"/>
          </w:tcPr>
          <w:p w14:paraId="5F7A8E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50</w:t>
            </w:r>
          </w:p>
        </w:tc>
        <w:tc>
          <w:tcPr>
            <w:tcW w:w="709" w:type="dxa"/>
            <w:shd w:val="clear" w:color="auto" w:fill="auto"/>
            <w:vAlign w:val="center"/>
          </w:tcPr>
          <w:p w14:paraId="387B5C3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99.87</w:t>
            </w:r>
          </w:p>
        </w:tc>
        <w:tc>
          <w:tcPr>
            <w:tcW w:w="567" w:type="dxa"/>
            <w:shd w:val="clear" w:color="auto" w:fill="auto"/>
            <w:vAlign w:val="center"/>
          </w:tcPr>
          <w:p w14:paraId="26E3A5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237</w:t>
            </w:r>
          </w:p>
        </w:tc>
        <w:tc>
          <w:tcPr>
            <w:tcW w:w="646" w:type="dxa"/>
            <w:vMerge w:val="continue"/>
            <w:shd w:val="clear" w:color="auto" w:fill="auto"/>
            <w:vAlign w:val="center"/>
          </w:tcPr>
          <w:p w14:paraId="58FFD8B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tr w14:paraId="19BC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2B78C9E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w:t>
            </w:r>
          </w:p>
        </w:tc>
        <w:tc>
          <w:tcPr>
            <w:tcW w:w="1051" w:type="dxa"/>
            <w:shd w:val="clear" w:color="auto" w:fill="auto"/>
            <w:vAlign w:val="center"/>
          </w:tcPr>
          <w:p w14:paraId="5BDDDE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加热炉废气</w:t>
            </w:r>
          </w:p>
        </w:tc>
        <w:tc>
          <w:tcPr>
            <w:tcW w:w="1276" w:type="dxa"/>
            <w:shd w:val="clear" w:color="auto" w:fill="auto"/>
            <w:vAlign w:val="center"/>
          </w:tcPr>
          <w:p w14:paraId="068964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燃用净化煤气，低氮燃烧</w:t>
            </w:r>
          </w:p>
        </w:tc>
        <w:tc>
          <w:tcPr>
            <w:tcW w:w="567" w:type="dxa"/>
            <w:shd w:val="clear" w:color="auto" w:fill="auto"/>
            <w:vAlign w:val="center"/>
          </w:tcPr>
          <w:p w14:paraId="6BF8CA7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20" w:type="dxa"/>
            <w:shd w:val="clear" w:color="auto" w:fill="auto"/>
            <w:vAlign w:val="center"/>
          </w:tcPr>
          <w:p w14:paraId="76272E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100471</w:t>
            </w:r>
          </w:p>
        </w:tc>
        <w:tc>
          <w:tcPr>
            <w:tcW w:w="939" w:type="dxa"/>
            <w:shd w:val="clear" w:color="auto" w:fill="auto"/>
            <w:vAlign w:val="center"/>
          </w:tcPr>
          <w:p w14:paraId="794BDD0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1378</w:t>
            </w:r>
          </w:p>
        </w:tc>
        <w:tc>
          <w:tcPr>
            <w:tcW w:w="992" w:type="dxa"/>
            <w:shd w:val="clear" w:color="auto" w:fill="auto"/>
            <w:vAlign w:val="center"/>
          </w:tcPr>
          <w:p w14:paraId="742A86D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33.8</w:t>
            </w:r>
          </w:p>
        </w:tc>
        <w:tc>
          <w:tcPr>
            <w:tcW w:w="567" w:type="dxa"/>
            <w:shd w:val="clear" w:color="auto" w:fill="auto"/>
            <w:vAlign w:val="center"/>
          </w:tcPr>
          <w:p w14:paraId="0516F9D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50</w:t>
            </w:r>
          </w:p>
        </w:tc>
        <w:tc>
          <w:tcPr>
            <w:tcW w:w="709" w:type="dxa"/>
            <w:shd w:val="clear" w:color="auto" w:fill="auto"/>
            <w:vAlign w:val="center"/>
          </w:tcPr>
          <w:p w14:paraId="07DAFD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99.53</w:t>
            </w:r>
          </w:p>
        </w:tc>
        <w:tc>
          <w:tcPr>
            <w:tcW w:w="567" w:type="dxa"/>
            <w:shd w:val="clear" w:color="auto" w:fill="auto"/>
            <w:vAlign w:val="center"/>
          </w:tcPr>
          <w:p w14:paraId="4D4ECE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472</w:t>
            </w:r>
          </w:p>
        </w:tc>
        <w:tc>
          <w:tcPr>
            <w:tcW w:w="646" w:type="dxa"/>
            <w:vMerge w:val="continue"/>
            <w:shd w:val="clear" w:color="auto" w:fill="auto"/>
            <w:vAlign w:val="center"/>
          </w:tcPr>
          <w:p w14:paraId="4EF0C65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tr w14:paraId="1DB3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shd w:val="clear" w:color="auto" w:fill="auto"/>
            <w:vAlign w:val="center"/>
          </w:tcPr>
          <w:p w14:paraId="08AEA6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w:t>
            </w:r>
          </w:p>
        </w:tc>
        <w:tc>
          <w:tcPr>
            <w:tcW w:w="1051" w:type="dxa"/>
            <w:shd w:val="clear" w:color="auto" w:fill="auto"/>
            <w:vAlign w:val="center"/>
          </w:tcPr>
          <w:p w14:paraId="6EF3B75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退火炉、均热炉、淬火炉废气</w:t>
            </w:r>
          </w:p>
        </w:tc>
        <w:tc>
          <w:tcPr>
            <w:tcW w:w="1276" w:type="dxa"/>
            <w:shd w:val="clear" w:color="auto" w:fill="auto"/>
            <w:vAlign w:val="center"/>
          </w:tcPr>
          <w:p w14:paraId="77E9523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燃用净化煤气，低氮燃烧</w:t>
            </w:r>
          </w:p>
        </w:tc>
        <w:tc>
          <w:tcPr>
            <w:tcW w:w="567" w:type="dxa"/>
            <w:shd w:val="clear" w:color="auto" w:fill="auto"/>
            <w:vAlign w:val="center"/>
          </w:tcPr>
          <w:p w14:paraId="1B71362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二氧化硫</w:t>
            </w:r>
          </w:p>
        </w:tc>
        <w:tc>
          <w:tcPr>
            <w:tcW w:w="620" w:type="dxa"/>
            <w:shd w:val="clear" w:color="auto" w:fill="auto"/>
            <w:vAlign w:val="center"/>
          </w:tcPr>
          <w:p w14:paraId="095A6E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34328</w:t>
            </w:r>
          </w:p>
        </w:tc>
        <w:tc>
          <w:tcPr>
            <w:tcW w:w="939" w:type="dxa"/>
            <w:shd w:val="clear" w:color="auto" w:fill="auto"/>
            <w:vAlign w:val="center"/>
          </w:tcPr>
          <w:p w14:paraId="1C0ED5E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1085</w:t>
            </w:r>
          </w:p>
        </w:tc>
        <w:tc>
          <w:tcPr>
            <w:tcW w:w="992" w:type="dxa"/>
            <w:shd w:val="clear" w:color="auto" w:fill="auto"/>
            <w:vAlign w:val="center"/>
          </w:tcPr>
          <w:p w14:paraId="34E0CA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16.7</w:t>
            </w:r>
          </w:p>
        </w:tc>
        <w:tc>
          <w:tcPr>
            <w:tcW w:w="567" w:type="dxa"/>
            <w:shd w:val="clear" w:color="auto" w:fill="auto"/>
            <w:vAlign w:val="center"/>
          </w:tcPr>
          <w:p w14:paraId="6DB567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50</w:t>
            </w:r>
          </w:p>
        </w:tc>
        <w:tc>
          <w:tcPr>
            <w:tcW w:w="709" w:type="dxa"/>
            <w:shd w:val="clear" w:color="auto" w:fill="auto"/>
            <w:vAlign w:val="center"/>
          </w:tcPr>
          <w:p w14:paraId="58CD55B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99.77</w:t>
            </w:r>
          </w:p>
        </w:tc>
        <w:tc>
          <w:tcPr>
            <w:tcW w:w="567" w:type="dxa"/>
            <w:shd w:val="clear" w:color="auto" w:fill="auto"/>
            <w:vAlign w:val="center"/>
          </w:tcPr>
          <w:p w14:paraId="0154F07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79</w:t>
            </w:r>
          </w:p>
        </w:tc>
        <w:tc>
          <w:tcPr>
            <w:tcW w:w="646" w:type="dxa"/>
            <w:vMerge w:val="continue"/>
            <w:shd w:val="clear" w:color="auto" w:fill="auto"/>
            <w:vAlign w:val="center"/>
          </w:tcPr>
          <w:p w14:paraId="3A0A815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tbl>
    <w:p w14:paraId="4C6471E2">
      <w:pPr>
        <w:ind w:firstLine="640"/>
        <w:jc w:val="center"/>
        <w:rPr>
          <w:rFonts w:ascii="Times New Roman" w:hAnsi="Times New Roman" w:eastAsia="仿宋_GB2312" w:cs="Times New Roman"/>
          <w:bCs/>
          <w:sz w:val="28"/>
          <w:szCs w:val="28"/>
        </w:rPr>
      </w:pPr>
      <w:r>
        <w:rPr>
          <w:rFonts w:ascii="Times New Roman" w:hAnsi="Times New Roman" w:cs="Times New Roman"/>
        </w:rPr>
        <w:drawing>
          <wp:inline distT="0" distB="0" distL="0" distR="0">
            <wp:extent cx="4417060" cy="2480310"/>
            <wp:effectExtent l="19050" t="19050" r="21590" b="15240"/>
            <wp:docPr id="166641891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18913" name="图片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17200" cy="2480400"/>
                    </a:xfrm>
                    <a:prstGeom prst="rect">
                      <a:avLst/>
                    </a:prstGeom>
                    <a:noFill/>
                    <a:ln w="6350" cmpd="sng">
                      <a:solidFill>
                        <a:srgbClr val="000000"/>
                      </a:solidFill>
                      <a:miter lim="800000"/>
                      <a:headEnd/>
                      <a:tailEnd/>
                    </a:ln>
                    <a:effectLst/>
                  </pic:spPr>
                </pic:pic>
              </a:graphicData>
            </a:graphic>
          </wp:inline>
        </w:drawing>
      </w:r>
    </w:p>
    <w:p w14:paraId="25913DB0">
      <w:pPr>
        <w:ind w:firstLine="640"/>
        <w:jc w:val="center"/>
        <w:rPr>
          <w:rFonts w:ascii="Times New Roman" w:hAnsi="Times New Roman" w:cs="Times New Roman"/>
          <w:b/>
          <w:bCs/>
          <w:color w:val="000000"/>
          <w:szCs w:val="32"/>
        </w:rPr>
      </w:pPr>
      <w:r>
        <w:rPr>
          <w:rFonts w:ascii="Times New Roman" w:hAnsi="Times New Roman" w:cs="Times New Roman"/>
          <w:b/>
          <w:bCs/>
          <w:color w:val="000000"/>
          <w:szCs w:val="32"/>
        </w:rPr>
        <w:t>图5-20  热风炉烟气排放口二氧化硫周期年历史数据图</w:t>
      </w:r>
    </w:p>
    <w:p w14:paraId="08053FF0">
      <w:pPr>
        <w:ind w:firstLine="640"/>
        <w:jc w:val="center"/>
        <w:rPr>
          <w:rFonts w:ascii="Times New Roman" w:hAnsi="Times New Roman" w:eastAsia="仿宋_GB2312" w:cs="Times New Roman"/>
          <w:bCs/>
          <w:sz w:val="28"/>
          <w:szCs w:val="28"/>
        </w:rPr>
      </w:pPr>
      <w:r>
        <w:rPr>
          <w:rFonts w:ascii="Times New Roman" w:hAnsi="Times New Roman" w:cs="Times New Roman"/>
        </w:rPr>
        <w:drawing>
          <wp:inline distT="0" distB="0" distL="0" distR="0">
            <wp:extent cx="4417060" cy="2480310"/>
            <wp:effectExtent l="19050" t="19050" r="21590" b="15240"/>
            <wp:docPr id="169117877" name="图片 12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7877" name="图片 124" descr="图表&#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17200" cy="2480400"/>
                    </a:xfrm>
                    <a:prstGeom prst="rect">
                      <a:avLst/>
                    </a:prstGeom>
                    <a:noFill/>
                    <a:ln w="6350" cmpd="sng">
                      <a:solidFill>
                        <a:srgbClr val="000000"/>
                      </a:solidFill>
                      <a:miter lim="800000"/>
                      <a:headEnd/>
                      <a:tailEnd/>
                    </a:ln>
                    <a:effectLst/>
                  </pic:spPr>
                </pic:pic>
              </a:graphicData>
            </a:graphic>
          </wp:inline>
        </w:drawing>
      </w:r>
    </w:p>
    <w:p w14:paraId="00D7A7E8">
      <w:pPr>
        <w:ind w:firstLine="640"/>
        <w:rPr>
          <w:rFonts w:ascii="Times New Roman" w:hAnsi="Times New Roman" w:cs="Times New Roman"/>
          <w:b/>
          <w:bCs/>
          <w:color w:val="000000"/>
          <w:szCs w:val="32"/>
        </w:rPr>
      </w:pPr>
      <w:r>
        <w:rPr>
          <w:rFonts w:ascii="Times New Roman" w:hAnsi="Times New Roman" w:cs="Times New Roman"/>
          <w:b/>
          <w:bCs/>
          <w:color w:val="000000"/>
          <w:szCs w:val="32"/>
        </w:rPr>
        <w:t>图5-21  退火炉、烘烤炉烟气排放口二氧化硫周期年历史数据图</w:t>
      </w:r>
    </w:p>
    <w:p w14:paraId="712E1F8D">
      <w:pPr>
        <w:ind w:firstLine="640"/>
        <w:jc w:val="center"/>
        <w:rPr>
          <w:rFonts w:ascii="Times New Roman" w:hAnsi="Times New Roman" w:eastAsia="仿宋_GB2312" w:cs="Times New Roman"/>
          <w:bCs/>
          <w:sz w:val="28"/>
          <w:szCs w:val="28"/>
        </w:rPr>
      </w:pPr>
      <w:r>
        <w:rPr>
          <w:rFonts w:ascii="Times New Roman" w:hAnsi="Times New Roman" w:cs="Times New Roman"/>
        </w:rPr>
        <w:drawing>
          <wp:inline distT="0" distB="0" distL="0" distR="0">
            <wp:extent cx="4417060" cy="2480310"/>
            <wp:effectExtent l="19050" t="19050" r="21590" b="15240"/>
            <wp:docPr id="1357539697" name="图片 122"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39697" name="图片 122" descr="图表&#10;&#10;低可信度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417200" cy="2480400"/>
                    </a:xfrm>
                    <a:prstGeom prst="rect">
                      <a:avLst/>
                    </a:prstGeom>
                    <a:noFill/>
                    <a:ln w="6350" cmpd="sng">
                      <a:solidFill>
                        <a:srgbClr val="000000"/>
                      </a:solidFill>
                      <a:miter lim="800000"/>
                      <a:headEnd/>
                      <a:tailEnd/>
                    </a:ln>
                    <a:effectLst/>
                  </pic:spPr>
                </pic:pic>
              </a:graphicData>
            </a:graphic>
          </wp:inline>
        </w:drawing>
      </w:r>
    </w:p>
    <w:p w14:paraId="2BBAD702">
      <w:pPr>
        <w:ind w:firstLine="640"/>
        <w:jc w:val="center"/>
        <w:rPr>
          <w:rFonts w:ascii="Times New Roman" w:hAnsi="Times New Roman" w:cs="Times New Roman"/>
          <w:b/>
          <w:bCs/>
        </w:rPr>
      </w:pPr>
      <w:r>
        <w:rPr>
          <w:rFonts w:ascii="Times New Roman" w:hAnsi="Times New Roman" w:cs="Times New Roman"/>
          <w:b/>
          <w:bCs/>
        </w:rPr>
        <w:t>图5-22  加热炉烟气排放口二氧化硫周期年历史数据图</w:t>
      </w:r>
    </w:p>
    <w:p w14:paraId="307D7336">
      <w:pPr>
        <w:ind w:firstLine="640"/>
        <w:jc w:val="center"/>
        <w:rPr>
          <w:rFonts w:ascii="Times New Roman" w:hAnsi="Times New Roman" w:eastAsia="仿宋_GB2312" w:cs="Times New Roman"/>
          <w:b/>
          <w:bCs/>
          <w:sz w:val="28"/>
          <w:szCs w:val="28"/>
        </w:rPr>
      </w:pPr>
      <w:r>
        <w:rPr>
          <w:rFonts w:ascii="Times New Roman" w:hAnsi="Times New Roman" w:cs="Times New Roman"/>
        </w:rPr>
        <w:drawing>
          <wp:inline distT="0" distB="0" distL="0" distR="0">
            <wp:extent cx="4417060" cy="2480310"/>
            <wp:effectExtent l="19050" t="19050" r="21590" b="15240"/>
            <wp:docPr id="1212512783" name="图片 120"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12783" name="图片 120" descr="图片包含 图表&#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17200" cy="2480400"/>
                    </a:xfrm>
                    <a:prstGeom prst="rect">
                      <a:avLst/>
                    </a:prstGeom>
                    <a:noFill/>
                    <a:ln w="6350" cmpd="sng">
                      <a:solidFill>
                        <a:srgbClr val="000000"/>
                      </a:solidFill>
                      <a:miter lim="800000"/>
                      <a:headEnd/>
                      <a:tailEnd/>
                    </a:ln>
                    <a:effectLst/>
                  </pic:spPr>
                </pic:pic>
              </a:graphicData>
            </a:graphic>
          </wp:inline>
        </w:drawing>
      </w:r>
    </w:p>
    <w:p w14:paraId="69E7699A">
      <w:pPr>
        <w:ind w:firstLine="640"/>
        <w:jc w:val="center"/>
        <w:rPr>
          <w:rFonts w:ascii="Times New Roman" w:hAnsi="Times New Roman" w:cs="Times New Roman"/>
          <w:b/>
          <w:bCs/>
        </w:rPr>
      </w:pPr>
      <w:r>
        <w:rPr>
          <w:rFonts w:ascii="Times New Roman" w:hAnsi="Times New Roman" w:cs="Times New Roman"/>
          <w:b/>
          <w:bCs/>
        </w:rPr>
        <w:t>图5-23 退火炉、淬火炉、均热炉烟气排放口二氧化硫周期年历史数据图</w:t>
      </w:r>
    </w:p>
    <w:p w14:paraId="18AD1294">
      <w:pPr>
        <w:pStyle w:val="35"/>
        <w:jc w:val="both"/>
        <w:rPr>
          <w:rFonts w:cs="Times New Roman"/>
        </w:rPr>
      </w:pPr>
      <w:r>
        <w:rPr>
          <w:rFonts w:cs="Times New Roman"/>
        </w:rPr>
        <w:t>根据高炉煤气成分化验表，高炉煤气中总硫浓度一般在100mg/m</w:t>
      </w:r>
      <w:r>
        <w:rPr>
          <w:rFonts w:cs="Times New Roman"/>
          <w:vertAlign w:val="superscript"/>
        </w:rPr>
        <w:t>3</w:t>
      </w:r>
      <w:r>
        <w:rPr>
          <w:rFonts w:cs="Times New Roman"/>
        </w:rPr>
        <w:t>，热风炉燃烧产生的二氧化硫主要源于高炉煤气中硫化氢及有机硫，且有机硫比例约占总硫含量七成，因此须采取煤气精脱硫或末端治理措施，SO</w:t>
      </w:r>
      <w:r>
        <w:rPr>
          <w:rFonts w:cs="Times New Roman"/>
          <w:vertAlign w:val="subscript"/>
        </w:rPr>
        <w:t>2</w:t>
      </w:r>
      <w:r>
        <w:rPr>
          <w:rFonts w:cs="Times New Roman"/>
        </w:rPr>
        <w:t>排放浓度可以控制在50mg/m</w:t>
      </w:r>
      <w:r>
        <w:rPr>
          <w:rFonts w:cs="Times New Roman"/>
          <w:vertAlign w:val="superscript"/>
        </w:rPr>
        <w:t>3</w:t>
      </w:r>
      <w:r>
        <w:rPr>
          <w:rFonts w:cs="Times New Roman"/>
        </w:rPr>
        <w:t>以下。结合宝钢股份在线监测数据可知，宝钢股份热风炉烟气采用钙基干法脱硫后至少99.74%时间段内二氧化硫排放浓度可控制在50mg/m</w:t>
      </w:r>
      <w:r>
        <w:rPr>
          <w:rFonts w:cs="Times New Roman"/>
          <w:vertAlign w:val="superscript"/>
        </w:rPr>
        <w:t>3</w:t>
      </w:r>
      <w:r>
        <w:rPr>
          <w:rFonts w:cs="Times New Roman"/>
        </w:rPr>
        <w:t>以内。因此，拟定排放标准限值为50mg/m</w:t>
      </w:r>
      <w:r>
        <w:rPr>
          <w:rFonts w:cs="Times New Roman"/>
          <w:vertAlign w:val="superscript"/>
        </w:rPr>
        <w:t>3</w:t>
      </w:r>
      <w:r>
        <w:rPr>
          <w:rFonts w:cs="Times New Roman"/>
        </w:rPr>
        <w:t>可行。</w:t>
      </w:r>
    </w:p>
    <w:p w14:paraId="44C251E3">
      <w:pPr>
        <w:pStyle w:val="35"/>
        <w:jc w:val="both"/>
        <w:rPr>
          <w:rFonts w:cs="Times New Roman"/>
        </w:rPr>
      </w:pPr>
      <w:r>
        <w:rPr>
          <w:rFonts w:cs="Times New Roman"/>
        </w:rPr>
        <w:t>对于轧钢加热炉与热处理炉外排SO</w:t>
      </w:r>
      <w:r>
        <w:rPr>
          <w:rFonts w:cs="Times New Roman"/>
          <w:vertAlign w:val="subscript"/>
        </w:rPr>
        <w:t>2</w:t>
      </w:r>
      <w:r>
        <w:rPr>
          <w:rFonts w:cs="Times New Roman"/>
        </w:rPr>
        <w:t>限值的确定同样是基于已调研企业排放浓度数据，同时参考河北、山东、河南、山西等已发布地标的企业样本数据。由于独立轧钢企业基本都采用天然气作为燃料，因此SO</w:t>
      </w:r>
      <w:r>
        <w:rPr>
          <w:rFonts w:cs="Times New Roman"/>
          <w:vertAlign w:val="subscript"/>
        </w:rPr>
        <w:t>2</w:t>
      </w:r>
      <w:r>
        <w:rPr>
          <w:rFonts w:cs="Times New Roman"/>
        </w:rPr>
        <w:t>产生极低。而钢铁联合轧钢工序的燃料主要为净化后的煤气，对于拥有焦化工序的钢铁企业一般会在下游轧线所需煤气燃料中掺入不超过3%~35%的经煤气净化后焦炉煤气，提高煤气热值，但绝大部分仍为高炉煤气，因此同热风炉减排工艺类似，通过采用源头减排或末端治理，至少99.53%时间段内达到50mg/Nm</w:t>
      </w:r>
      <w:r>
        <w:rPr>
          <w:rFonts w:cs="Times New Roman"/>
          <w:vertAlign w:val="superscript"/>
        </w:rPr>
        <w:t>3</w:t>
      </w:r>
      <w:r>
        <w:rPr>
          <w:rFonts w:cs="Times New Roman"/>
        </w:rPr>
        <w:t>的限值要求。</w:t>
      </w:r>
    </w:p>
    <w:p w14:paraId="0CE1AE38">
      <w:pPr>
        <w:pStyle w:val="35"/>
        <w:jc w:val="both"/>
        <w:rPr>
          <w:rFonts w:cs="Times New Roman"/>
        </w:rPr>
      </w:pPr>
      <w:bookmarkStart w:id="78" w:name="OLE_LINK72"/>
      <w:bookmarkStart w:id="79" w:name="OLE_LINK73"/>
      <w:r>
        <w:rPr>
          <w:rFonts w:hint="eastAsia" w:cs="Times New Roman"/>
        </w:rPr>
        <w:t>此外，轧钢废酸再生烟气二氧化硫限值参考《</w:t>
      </w:r>
      <w:r>
        <w:rPr>
          <w:rFonts w:cs="Times New Roman"/>
        </w:rPr>
        <w:t>工业炉窑大气污染物排放标准</w:t>
      </w:r>
      <w:r>
        <w:rPr>
          <w:rFonts w:hint="eastAsia" w:cs="Times New Roman"/>
        </w:rPr>
        <w:t>》（</w:t>
      </w:r>
      <w:r>
        <w:rPr>
          <w:rFonts w:cs="Times New Roman"/>
        </w:rPr>
        <w:t>DB31/860-2014</w:t>
      </w:r>
      <w:r>
        <w:rPr>
          <w:rFonts w:hint="eastAsia" w:cs="Times New Roman"/>
        </w:rPr>
        <w:t>），拟定</w:t>
      </w:r>
      <w:r>
        <w:rPr>
          <w:rFonts w:cs="Times New Roman"/>
        </w:rPr>
        <w:t>排放限值为100mg/m</w:t>
      </w:r>
      <w:r>
        <w:rPr>
          <w:rFonts w:cs="Times New Roman"/>
          <w:vertAlign w:val="superscript"/>
        </w:rPr>
        <w:t>3</w:t>
      </w:r>
      <w:r>
        <w:rPr>
          <w:rFonts w:hint="eastAsia" w:cs="Times New Roman"/>
        </w:rPr>
        <w:t>；转底炉预处理烘干机和转底炉烟囱参照历史数据及上述工序排放限值，拟定二氧化硫</w:t>
      </w:r>
      <w:r>
        <w:rPr>
          <w:rFonts w:cs="Times New Roman"/>
        </w:rPr>
        <w:t>排放标准限值为50mg/m</w:t>
      </w:r>
      <w:r>
        <w:rPr>
          <w:rFonts w:cs="Times New Roman"/>
          <w:vertAlign w:val="superscript"/>
        </w:rPr>
        <w:t>3</w:t>
      </w:r>
      <w:r>
        <w:rPr>
          <w:rFonts w:cs="Times New Roman"/>
        </w:rPr>
        <w:t>。</w:t>
      </w:r>
    </w:p>
    <w:bookmarkEnd w:id="78"/>
    <w:bookmarkEnd w:id="79"/>
    <w:p w14:paraId="05A292A1">
      <w:pPr>
        <w:pStyle w:val="43"/>
        <w:ind w:firstLine="482"/>
        <w:rPr>
          <w:rFonts w:eastAsia="宋体" w:cs="Times New Roman"/>
        </w:rPr>
      </w:pPr>
      <w:bookmarkStart w:id="80" w:name="_Toc185781626"/>
      <w:bookmarkStart w:id="81" w:name="_Toc185779061"/>
      <w:bookmarkStart w:id="82" w:name="_Toc185778997"/>
      <w:bookmarkStart w:id="83" w:name="_Toc185784336"/>
      <w:bookmarkStart w:id="84" w:name="_Toc217058304"/>
      <w:r>
        <w:rPr>
          <w:rFonts w:eastAsia="宋体" w:cs="Times New Roman"/>
        </w:rPr>
        <w:t>5.2.3 氮氧化物</w:t>
      </w:r>
      <w:bookmarkEnd w:id="80"/>
      <w:bookmarkEnd w:id="81"/>
      <w:bookmarkEnd w:id="82"/>
      <w:bookmarkEnd w:id="83"/>
      <w:bookmarkEnd w:id="84"/>
    </w:p>
    <w:p w14:paraId="29D92193">
      <w:pPr>
        <w:pStyle w:val="35"/>
        <w:widowControl w:val="0"/>
        <w:jc w:val="both"/>
        <w:rPr>
          <w:rFonts w:cs="Times New Roman"/>
        </w:rPr>
      </w:pPr>
      <w:r>
        <w:rPr>
          <w:rFonts w:cs="Times New Roman"/>
        </w:rPr>
        <w:t>（1）烧结（球团）工序</w:t>
      </w:r>
    </w:p>
    <w:p w14:paraId="4AB495FB">
      <w:pPr>
        <w:pStyle w:val="35"/>
        <w:jc w:val="both"/>
        <w:rPr>
          <w:rFonts w:cs="Times New Roman"/>
        </w:rPr>
      </w:pPr>
      <w:r>
        <w:rPr>
          <w:rFonts w:cs="Times New Roman"/>
        </w:rPr>
        <w:t>烧结机机头烟气中氮氧化物产生浓度一般在220mg/m</w:t>
      </w:r>
      <w:r>
        <w:rPr>
          <w:rFonts w:cs="Times New Roman"/>
          <w:vertAlign w:val="superscript"/>
        </w:rPr>
        <w:t>3</w:t>
      </w:r>
      <w:r>
        <w:rPr>
          <w:rFonts w:cs="Times New Roman"/>
        </w:rPr>
        <w:t>以下，在采用活性焦脱硫脱硝一体化、SCR脱硝工艺，脱硝效率在80%以上，NOx排放浓度可以控制在50mg/m</w:t>
      </w:r>
      <w:r>
        <w:rPr>
          <w:rFonts w:cs="Times New Roman"/>
          <w:vertAlign w:val="superscript"/>
        </w:rPr>
        <w:t>3</w:t>
      </w:r>
      <w:r>
        <w:rPr>
          <w:rFonts w:cs="Times New Roman"/>
        </w:rPr>
        <w:t>以下。</w:t>
      </w:r>
    </w:p>
    <w:p w14:paraId="4DFF4A9C">
      <w:pPr>
        <w:pStyle w:val="35"/>
        <w:jc w:val="both"/>
        <w:rPr>
          <w:rFonts w:cs="Times New Roman"/>
        </w:rPr>
      </w:pPr>
      <w:r>
        <w:rPr>
          <w:rFonts w:cs="Times New Roman"/>
        </w:rPr>
        <w:t>宝钢股份2023年10月～2024年9月烧结机头烟气氮氧化物在线监测数据统计结果如下：</w:t>
      </w:r>
    </w:p>
    <w:p w14:paraId="7512860B">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表5-8  烧结机头烟气氮氧化物在线监测数据达标情况一览表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152"/>
        <w:gridCol w:w="868"/>
        <w:gridCol w:w="726"/>
        <w:gridCol w:w="867"/>
        <w:gridCol w:w="1010"/>
        <w:gridCol w:w="585"/>
        <w:gridCol w:w="726"/>
        <w:gridCol w:w="726"/>
        <w:gridCol w:w="975"/>
      </w:tblGrid>
      <w:tr w14:paraId="59AE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shd w:val="clear" w:color="auto" w:fill="auto"/>
            <w:vAlign w:val="center"/>
          </w:tcPr>
          <w:p w14:paraId="6CA322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有组织排放源</w:t>
            </w:r>
          </w:p>
        </w:tc>
        <w:tc>
          <w:tcPr>
            <w:tcW w:w="1072" w:type="dxa"/>
            <w:shd w:val="clear" w:color="auto" w:fill="auto"/>
            <w:vAlign w:val="center"/>
          </w:tcPr>
          <w:p w14:paraId="5AAC47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808" w:type="dxa"/>
            <w:shd w:val="clear" w:color="auto" w:fill="auto"/>
            <w:vAlign w:val="center"/>
          </w:tcPr>
          <w:p w14:paraId="24007DD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76" w:type="dxa"/>
            <w:shd w:val="clear" w:color="auto" w:fill="auto"/>
            <w:vAlign w:val="center"/>
          </w:tcPr>
          <w:p w14:paraId="1570103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4C62C4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807" w:type="dxa"/>
            <w:shd w:val="clear" w:color="auto" w:fill="auto"/>
            <w:vAlign w:val="center"/>
          </w:tcPr>
          <w:p w14:paraId="364958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0A77579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40" w:type="dxa"/>
            <w:shd w:val="clear" w:color="auto" w:fill="auto"/>
            <w:vAlign w:val="center"/>
          </w:tcPr>
          <w:p w14:paraId="4ED06B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95%时间段最大值（mg/m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544" w:type="dxa"/>
            <w:shd w:val="clear" w:color="auto" w:fill="auto"/>
            <w:vAlign w:val="center"/>
          </w:tcPr>
          <w:p w14:paraId="062BDC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5E5D53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2AC5BA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676" w:type="dxa"/>
            <w:shd w:val="clear" w:color="auto" w:fill="auto"/>
            <w:vAlign w:val="center"/>
          </w:tcPr>
          <w:p w14:paraId="2BB2A1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676" w:type="dxa"/>
            <w:shd w:val="clear" w:color="auto" w:fill="auto"/>
            <w:vAlign w:val="center"/>
          </w:tcPr>
          <w:p w14:paraId="4FFD90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397E8AB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907" w:type="dxa"/>
            <w:shd w:val="clear" w:color="auto" w:fill="auto"/>
            <w:vAlign w:val="center"/>
          </w:tcPr>
          <w:p w14:paraId="6308B5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2CB981D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0E0B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26" w:type="dxa"/>
            <w:shd w:val="clear" w:color="auto" w:fill="auto"/>
            <w:vAlign w:val="center"/>
          </w:tcPr>
          <w:p w14:paraId="212A7B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烧结机头烟气</w:t>
            </w:r>
          </w:p>
        </w:tc>
        <w:tc>
          <w:tcPr>
            <w:tcW w:w="1072" w:type="dxa"/>
            <w:shd w:val="clear" w:color="auto" w:fill="auto"/>
            <w:vAlign w:val="center"/>
          </w:tcPr>
          <w:p w14:paraId="0C52711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四电场静电除尘器+协同处置装置-活性炭（焦）法/循环流化床+SCR脱硝</w:t>
            </w:r>
          </w:p>
        </w:tc>
        <w:tc>
          <w:tcPr>
            <w:tcW w:w="808" w:type="dxa"/>
            <w:shd w:val="clear" w:color="auto" w:fill="auto"/>
            <w:vAlign w:val="center"/>
          </w:tcPr>
          <w:p w14:paraId="4C7468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氮氧化物</w:t>
            </w:r>
          </w:p>
        </w:tc>
        <w:tc>
          <w:tcPr>
            <w:tcW w:w="676" w:type="dxa"/>
            <w:shd w:val="clear" w:color="auto" w:fill="auto"/>
            <w:vAlign w:val="center"/>
          </w:tcPr>
          <w:p w14:paraId="409124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33580</w:t>
            </w:r>
          </w:p>
        </w:tc>
        <w:tc>
          <w:tcPr>
            <w:tcW w:w="807" w:type="dxa"/>
            <w:shd w:val="clear" w:color="auto" w:fill="auto"/>
            <w:vAlign w:val="center"/>
          </w:tcPr>
          <w:p w14:paraId="01220D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2892</w:t>
            </w:r>
          </w:p>
        </w:tc>
        <w:tc>
          <w:tcPr>
            <w:tcW w:w="940" w:type="dxa"/>
            <w:shd w:val="clear" w:color="auto" w:fill="auto"/>
            <w:vAlign w:val="center"/>
          </w:tcPr>
          <w:p w14:paraId="011219D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45.21</w:t>
            </w:r>
          </w:p>
        </w:tc>
        <w:tc>
          <w:tcPr>
            <w:tcW w:w="544" w:type="dxa"/>
            <w:shd w:val="clear" w:color="auto" w:fill="auto"/>
            <w:vAlign w:val="center"/>
          </w:tcPr>
          <w:p w14:paraId="036FB84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50</w:t>
            </w:r>
          </w:p>
        </w:tc>
        <w:tc>
          <w:tcPr>
            <w:tcW w:w="676" w:type="dxa"/>
            <w:shd w:val="clear" w:color="auto" w:fill="auto"/>
            <w:vAlign w:val="center"/>
          </w:tcPr>
          <w:p w14:paraId="1CB4A04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98.85</w:t>
            </w:r>
          </w:p>
        </w:tc>
        <w:tc>
          <w:tcPr>
            <w:tcW w:w="676" w:type="dxa"/>
            <w:shd w:val="clear" w:color="auto" w:fill="auto"/>
            <w:vAlign w:val="center"/>
          </w:tcPr>
          <w:p w14:paraId="4335F9F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386</w:t>
            </w:r>
          </w:p>
        </w:tc>
        <w:tc>
          <w:tcPr>
            <w:tcW w:w="907" w:type="dxa"/>
            <w:shd w:val="clear" w:color="auto" w:fill="auto"/>
            <w:vAlign w:val="center"/>
          </w:tcPr>
          <w:p w14:paraId="75DF0865">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1、开、停机；</w:t>
            </w:r>
          </w:p>
          <w:p w14:paraId="08B0E200">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2、工况波动；</w:t>
            </w:r>
          </w:p>
          <w:p w14:paraId="1ABA8A77">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3、活性炭脱硝滞后；</w:t>
            </w:r>
          </w:p>
          <w:p w14:paraId="113F4994">
            <w:pPr>
              <w:keepNext w:val="0"/>
              <w:keepLines w:val="0"/>
              <w:widowControl/>
              <w:suppressLineNumbers w:val="0"/>
              <w:spacing w:before="0" w:beforeAutospacing="0" w:after="0" w:afterAutospacing="0"/>
              <w:ind w:left="-60" w:leftChars="-25"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4、治理设施故障</w:t>
            </w:r>
          </w:p>
        </w:tc>
      </w:tr>
    </w:tbl>
    <w:p w14:paraId="6115A729">
      <w:pPr>
        <w:ind w:firstLine="64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drawing>
          <wp:inline distT="0" distB="0" distL="0" distR="0">
            <wp:extent cx="4587240" cy="2758440"/>
            <wp:effectExtent l="19050" t="19050" r="22860" b="22860"/>
            <wp:docPr id="1685905188" name="图片 125" descr="图表&#10;&#10;描述已自动生成"/>
            <wp:cNvGraphicFramePr/>
            <a:graphic xmlns:a="http://schemas.openxmlformats.org/drawingml/2006/main">
              <a:graphicData uri="http://schemas.openxmlformats.org/drawingml/2006/picture">
                <pic:pic xmlns:pic="http://schemas.openxmlformats.org/drawingml/2006/picture">
                  <pic:nvPicPr>
                    <pic:cNvPr id="1685905188" name="图片 125" descr="图表&#10;&#10;描述已自动生成"/>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87240" cy="2758440"/>
                    </a:xfrm>
                    <a:prstGeom prst="rect">
                      <a:avLst/>
                    </a:prstGeom>
                    <a:noFill/>
                    <a:ln w="6350" cmpd="sng">
                      <a:solidFill>
                        <a:srgbClr val="000000"/>
                      </a:solidFill>
                      <a:miter lim="800000"/>
                      <a:headEnd/>
                      <a:tailEnd/>
                    </a:ln>
                    <a:effectLst/>
                  </pic:spPr>
                </pic:pic>
              </a:graphicData>
            </a:graphic>
          </wp:inline>
        </w:drawing>
      </w:r>
    </w:p>
    <w:p w14:paraId="470F9B19">
      <w:pPr>
        <w:pStyle w:val="35"/>
        <w:jc w:val="center"/>
        <w:rPr>
          <w:rFonts w:cs="Times New Roman"/>
        </w:rPr>
      </w:pPr>
      <w:r>
        <w:rPr>
          <w:rFonts w:cs="Times New Roman"/>
          <w:b/>
          <w:bCs/>
          <w:color w:val="000000"/>
          <w:szCs w:val="32"/>
        </w:rPr>
        <w:t>图5-24  烧结机头烟气排放口氮氧化物周期年历史数据图</w:t>
      </w:r>
    </w:p>
    <w:p w14:paraId="6E7A4A41">
      <w:pPr>
        <w:pStyle w:val="35"/>
        <w:jc w:val="both"/>
        <w:rPr>
          <w:rFonts w:hint="eastAsia" w:cs="Times New Roman"/>
        </w:rPr>
      </w:pPr>
      <w:r>
        <w:rPr>
          <w:rFonts w:cs="Times New Roman"/>
        </w:rPr>
        <w:t>根据宝钢股份企业实际调研运行情况，至少98.85%时间段内烧结机头烟气氮氧化物排放浓度可控制在50mg/m</w:t>
      </w:r>
      <w:r>
        <w:rPr>
          <w:rFonts w:cs="Times New Roman"/>
          <w:vertAlign w:val="superscript"/>
        </w:rPr>
        <w:t>3</w:t>
      </w:r>
      <w:r>
        <w:rPr>
          <w:rFonts w:cs="Times New Roman"/>
        </w:rPr>
        <w:t>以内，超标主要为开停机阶段氧含量异常，折算造成的超标</w:t>
      </w:r>
      <w:r>
        <w:rPr>
          <w:rFonts w:hint="eastAsia" w:cs="Times New Roman"/>
        </w:rPr>
        <w:t>约</w:t>
      </w:r>
      <w:r>
        <w:rPr>
          <w:rFonts w:cs="Times New Roman"/>
        </w:rPr>
        <w:t>占88%，其余为工况波动、设施故障等因素。因此，拟定排放标准为50mg/m</w:t>
      </w:r>
      <w:r>
        <w:rPr>
          <w:rFonts w:cs="Times New Roman"/>
          <w:vertAlign w:val="superscript"/>
        </w:rPr>
        <w:t>3</w:t>
      </w:r>
      <w:r>
        <w:rPr>
          <w:rFonts w:cs="Times New Roman"/>
        </w:rPr>
        <w:t>可行。</w:t>
      </w:r>
    </w:p>
    <w:p w14:paraId="6C28B101">
      <w:pPr>
        <w:pStyle w:val="35"/>
        <w:jc w:val="both"/>
        <w:rPr>
          <w:rFonts w:cs="Times New Roman"/>
        </w:rPr>
      </w:pPr>
      <w:r>
        <w:rPr>
          <w:rFonts w:cs="Times New Roman"/>
        </w:rPr>
        <w:t>在运行过程中，需要重点关注活性焦脱硝工艺，由于活性焦脱硝工艺对运行工况、运行管理水平要求较高，活性焦更换不及时、检维修难度高等原因会导致脱硝效果产生滞后效应，氮氧化物外排浓度短时间可能会超过50mg/Nm</w:t>
      </w:r>
      <w:r>
        <w:rPr>
          <w:rFonts w:cs="Times New Roman"/>
          <w:vertAlign w:val="superscript"/>
        </w:rPr>
        <w:t>3</w:t>
      </w:r>
      <w:r>
        <w:rPr>
          <w:rFonts w:cs="Times New Roman"/>
        </w:rPr>
        <w:t>。</w:t>
      </w:r>
    </w:p>
    <w:p w14:paraId="295F226B">
      <w:pPr>
        <w:pStyle w:val="35"/>
        <w:widowControl w:val="0"/>
        <w:jc w:val="both"/>
        <w:rPr>
          <w:rFonts w:cs="Times New Roman"/>
        </w:rPr>
      </w:pPr>
      <w:r>
        <w:rPr>
          <w:rFonts w:cs="Times New Roman"/>
        </w:rPr>
        <w:t>（2）焦化工序</w:t>
      </w:r>
    </w:p>
    <w:p w14:paraId="589E9FA8">
      <w:pPr>
        <w:pStyle w:val="35"/>
        <w:jc w:val="both"/>
        <w:rPr>
          <w:rFonts w:cs="Times New Roman"/>
        </w:rPr>
      </w:pPr>
      <w:r>
        <w:rPr>
          <w:rFonts w:cs="Times New Roman"/>
        </w:rPr>
        <w:t>以焦炉煤气为燃料的焦炉烟气温度较高（200℃~320℃），氮氧化物初始浓度约400mg/m</w:t>
      </w:r>
      <w:r>
        <w:rPr>
          <w:rFonts w:cs="Times New Roman"/>
          <w:vertAlign w:val="superscript"/>
        </w:rPr>
        <w:t>3</w:t>
      </w:r>
      <w:r>
        <w:rPr>
          <w:rFonts w:cs="Times New Roman"/>
        </w:rPr>
        <w:t>~1500mg/m</w:t>
      </w:r>
      <w:r>
        <w:rPr>
          <w:rFonts w:cs="Times New Roman"/>
          <w:vertAlign w:val="superscript"/>
        </w:rPr>
        <w:t>3</w:t>
      </w:r>
      <w:r>
        <w:rPr>
          <w:rFonts w:cs="Times New Roman"/>
        </w:rPr>
        <w:t>；以高炉煤气或混合煤气为燃料的焦炉烟气温度较低（180℃~240℃），氮氧化物初始浓度约300mg/m</w:t>
      </w:r>
      <w:r>
        <w:rPr>
          <w:rFonts w:cs="Times New Roman"/>
          <w:vertAlign w:val="superscript"/>
        </w:rPr>
        <w:t>3</w:t>
      </w:r>
      <w:r>
        <w:rPr>
          <w:rFonts w:cs="Times New Roman"/>
        </w:rPr>
        <w:t>~600mg/m</w:t>
      </w:r>
      <w:r>
        <w:rPr>
          <w:rFonts w:cs="Times New Roman"/>
          <w:vertAlign w:val="superscript"/>
        </w:rPr>
        <w:t>3</w:t>
      </w:r>
      <w:r>
        <w:rPr>
          <w:rFonts w:cs="Times New Roman"/>
        </w:rPr>
        <w:t>。目前废气脱硝采用的技术包括SCR、活性炭（焦）一体化等，均属于可行技术。</w:t>
      </w:r>
    </w:p>
    <w:p w14:paraId="78D59050">
      <w:pPr>
        <w:pStyle w:val="35"/>
        <w:jc w:val="both"/>
        <w:rPr>
          <w:rFonts w:cs="Times New Roman"/>
        </w:rPr>
      </w:pPr>
      <w:r>
        <w:rPr>
          <w:rFonts w:cs="Times New Roman"/>
        </w:rPr>
        <w:t>宝钢股份2023年10月～2024年9月焦炉烟气氮氧化物在线监测数据统计结果如下：</w:t>
      </w:r>
    </w:p>
    <w:p w14:paraId="7FAF3114">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表5-9-1  焦炉烟气氮氧化物在线监测数据达标情况一览表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93"/>
        <w:gridCol w:w="869"/>
        <w:gridCol w:w="725"/>
        <w:gridCol w:w="887"/>
        <w:gridCol w:w="940"/>
        <w:gridCol w:w="684"/>
        <w:gridCol w:w="684"/>
        <w:gridCol w:w="777"/>
        <w:gridCol w:w="777"/>
      </w:tblGrid>
      <w:tr w14:paraId="779B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shd w:val="clear" w:color="auto" w:fill="auto"/>
            <w:vAlign w:val="center"/>
          </w:tcPr>
          <w:p w14:paraId="3F4014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有组织排放源</w:t>
            </w:r>
          </w:p>
        </w:tc>
        <w:tc>
          <w:tcPr>
            <w:tcW w:w="1259" w:type="dxa"/>
            <w:shd w:val="clear" w:color="auto" w:fill="auto"/>
            <w:vAlign w:val="center"/>
          </w:tcPr>
          <w:p w14:paraId="662C437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846" w:type="dxa"/>
            <w:shd w:val="clear" w:color="auto" w:fill="auto"/>
            <w:vAlign w:val="center"/>
          </w:tcPr>
          <w:p w14:paraId="1470643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706" w:type="dxa"/>
            <w:shd w:val="clear" w:color="auto" w:fill="auto"/>
            <w:vAlign w:val="center"/>
          </w:tcPr>
          <w:p w14:paraId="3C59016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4E57B1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863" w:type="dxa"/>
            <w:shd w:val="clear" w:color="auto" w:fill="auto"/>
            <w:vAlign w:val="center"/>
          </w:tcPr>
          <w:p w14:paraId="67EC5E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2161655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最大值</w:t>
            </w:r>
          </w:p>
          <w:p w14:paraId="10462D7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15" w:type="dxa"/>
            <w:shd w:val="clear" w:color="auto" w:fill="auto"/>
            <w:vAlign w:val="center"/>
          </w:tcPr>
          <w:p w14:paraId="599990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95%时间段最大值</w:t>
            </w:r>
          </w:p>
          <w:p w14:paraId="38D030A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66" w:type="dxa"/>
            <w:shd w:val="clear" w:color="auto" w:fill="auto"/>
            <w:vAlign w:val="center"/>
          </w:tcPr>
          <w:p w14:paraId="34E8D3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4E4A860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007BD04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666" w:type="dxa"/>
            <w:shd w:val="clear" w:color="auto" w:fill="auto"/>
            <w:vAlign w:val="center"/>
          </w:tcPr>
          <w:p w14:paraId="7AB2891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56" w:type="dxa"/>
            <w:shd w:val="clear" w:color="auto" w:fill="auto"/>
            <w:vAlign w:val="center"/>
          </w:tcPr>
          <w:p w14:paraId="211DB9D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5370CB4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756" w:type="dxa"/>
            <w:shd w:val="clear" w:color="auto" w:fill="auto"/>
            <w:vAlign w:val="center"/>
          </w:tcPr>
          <w:p w14:paraId="748AA6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421840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6865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63" w:type="dxa"/>
            <w:shd w:val="clear" w:color="auto" w:fill="auto"/>
            <w:vAlign w:val="center"/>
          </w:tcPr>
          <w:p w14:paraId="4CC2FD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焦炉烟气</w:t>
            </w:r>
          </w:p>
        </w:tc>
        <w:tc>
          <w:tcPr>
            <w:tcW w:w="1259" w:type="dxa"/>
            <w:shd w:val="clear" w:color="auto" w:fill="auto"/>
            <w:vAlign w:val="center"/>
          </w:tcPr>
          <w:p w14:paraId="582EBA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旋转喷雾法+SCR,袋式除尘器/活性炭基催化脱硫+SCR脱硝/活性焦一体化净化设施</w:t>
            </w:r>
          </w:p>
        </w:tc>
        <w:tc>
          <w:tcPr>
            <w:tcW w:w="846" w:type="dxa"/>
            <w:shd w:val="clear" w:color="auto" w:fill="auto"/>
            <w:vAlign w:val="center"/>
          </w:tcPr>
          <w:p w14:paraId="51A17D6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氮氧化物</w:t>
            </w:r>
          </w:p>
        </w:tc>
        <w:tc>
          <w:tcPr>
            <w:tcW w:w="706" w:type="dxa"/>
            <w:shd w:val="clear" w:color="auto" w:fill="auto"/>
            <w:vAlign w:val="center"/>
          </w:tcPr>
          <w:p w14:paraId="007294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59266</w:t>
            </w:r>
          </w:p>
        </w:tc>
        <w:tc>
          <w:tcPr>
            <w:tcW w:w="863" w:type="dxa"/>
            <w:shd w:val="clear" w:color="auto" w:fill="auto"/>
            <w:vAlign w:val="center"/>
          </w:tcPr>
          <w:p w14:paraId="0CB682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5508</w:t>
            </w:r>
          </w:p>
        </w:tc>
        <w:tc>
          <w:tcPr>
            <w:tcW w:w="915" w:type="dxa"/>
            <w:shd w:val="clear" w:color="auto" w:fill="auto"/>
            <w:vAlign w:val="center"/>
          </w:tcPr>
          <w:p w14:paraId="5101E07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112.61</w:t>
            </w:r>
          </w:p>
        </w:tc>
        <w:tc>
          <w:tcPr>
            <w:tcW w:w="666" w:type="dxa"/>
            <w:shd w:val="clear" w:color="auto" w:fill="auto"/>
            <w:vAlign w:val="center"/>
          </w:tcPr>
          <w:p w14:paraId="1DB3C1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130</w:t>
            </w:r>
          </w:p>
        </w:tc>
        <w:tc>
          <w:tcPr>
            <w:tcW w:w="666" w:type="dxa"/>
            <w:shd w:val="clear" w:color="auto" w:fill="auto"/>
            <w:vAlign w:val="center"/>
          </w:tcPr>
          <w:p w14:paraId="1B923C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98.35</w:t>
            </w:r>
          </w:p>
        </w:tc>
        <w:tc>
          <w:tcPr>
            <w:tcW w:w="756" w:type="dxa"/>
            <w:shd w:val="clear" w:color="auto" w:fill="auto"/>
            <w:vAlign w:val="center"/>
          </w:tcPr>
          <w:p w14:paraId="66F918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976</w:t>
            </w:r>
          </w:p>
        </w:tc>
        <w:tc>
          <w:tcPr>
            <w:tcW w:w="756" w:type="dxa"/>
            <w:shd w:val="clear" w:color="auto" w:fill="auto"/>
            <w:vAlign w:val="center"/>
          </w:tcPr>
          <w:p w14:paraId="5CAD457E">
            <w:pPr>
              <w:keepNext w:val="0"/>
              <w:keepLines w:val="0"/>
              <w:widowControl/>
              <w:suppressLineNumbers w:val="0"/>
              <w:spacing w:before="0" w:beforeAutospacing="0" w:after="0" w:afterAutospacing="0"/>
              <w:ind w:left="-60"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1、开、停机；</w:t>
            </w:r>
          </w:p>
          <w:p w14:paraId="528D46FE">
            <w:pPr>
              <w:keepNext w:val="0"/>
              <w:keepLines w:val="0"/>
              <w:widowControl/>
              <w:suppressLineNumbers w:val="0"/>
              <w:spacing w:before="0" w:beforeAutospacing="0" w:after="0" w:afterAutospacing="0"/>
              <w:ind w:left="-60"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2、工况波动；</w:t>
            </w:r>
          </w:p>
          <w:p w14:paraId="10C51F18">
            <w:pPr>
              <w:keepNext w:val="0"/>
              <w:keepLines w:val="0"/>
              <w:widowControl/>
              <w:suppressLineNumbers w:val="0"/>
              <w:spacing w:before="0" w:beforeAutospacing="0" w:after="0" w:afterAutospacing="0"/>
              <w:ind w:left="-60" w:right="0"/>
              <w:rPr>
                <w:rFonts w:hint="eastAsia" w:ascii="Times New Roman" w:hAnsi="Times New Roman" w:cs="Times New Roman"/>
                <w:sz w:val="18"/>
                <w:szCs w:val="18"/>
              </w:rPr>
            </w:pPr>
            <w:r>
              <w:rPr>
                <w:rFonts w:hint="eastAsia" w:ascii="Times New Roman" w:hAnsi="Times New Roman" w:cs="Times New Roman"/>
                <w:sz w:val="18"/>
                <w:szCs w:val="18"/>
              </w:rPr>
              <w:t>3、主引风机故障</w:t>
            </w:r>
          </w:p>
        </w:tc>
      </w:tr>
    </w:tbl>
    <w:p w14:paraId="1E2A5A29">
      <w:pPr>
        <w:jc w:val="center"/>
        <w:rPr>
          <w:rFonts w:ascii="Times New Roman" w:hAnsi="Times New Roman" w:eastAsia="仿宋_GB2312" w:cs="Times New Roman"/>
          <w:bCs/>
          <w:sz w:val="28"/>
          <w:szCs w:val="28"/>
        </w:rPr>
      </w:pPr>
      <w:r>
        <w:rPr>
          <w:rFonts w:ascii="Times New Roman" w:hAnsi="Times New Roman" w:eastAsia="仿宋_GB2312" w:cs="Times New Roman"/>
          <w:bCs/>
          <w:sz w:val="28"/>
          <w:szCs w:val="28"/>
        </w:rPr>
        <mc:AlternateContent>
          <mc:Choice Requires="wps">
            <w:drawing>
              <wp:anchor distT="0" distB="0" distL="114300" distR="114300" simplePos="0" relativeHeight="251661312" behindDoc="0" locked="0" layoutInCell="1" allowOverlap="1">
                <wp:simplePos x="0" y="0"/>
                <wp:positionH relativeFrom="column">
                  <wp:posOffset>1167765</wp:posOffset>
                </wp:positionH>
                <wp:positionV relativeFrom="paragraph">
                  <wp:posOffset>1472565</wp:posOffset>
                </wp:positionV>
                <wp:extent cx="289560" cy="457200"/>
                <wp:effectExtent l="15240" t="15240" r="9525" b="13335"/>
                <wp:wrapNone/>
                <wp:docPr id="1618534738" name="椭圆 149"/>
                <wp:cNvGraphicFramePr/>
                <a:graphic xmlns:a="http://schemas.openxmlformats.org/drawingml/2006/main">
                  <a:graphicData uri="http://schemas.microsoft.com/office/word/2010/wordprocessingShape">
                    <wps:wsp>
                      <wps:cNvSpPr>
                        <a:spLocks noChangeArrowheads="1"/>
                      </wps:cNvSpPr>
                      <wps:spPr bwMode="auto">
                        <a:xfrm>
                          <a:off x="0" y="0"/>
                          <a:ext cx="289560" cy="457200"/>
                        </a:xfrm>
                        <a:prstGeom prst="ellipse">
                          <a:avLst/>
                        </a:prstGeom>
                        <a:noFill/>
                        <a:ln w="12700">
                          <a:solidFill>
                            <a:srgbClr val="00B0F0"/>
                          </a:solidFill>
                          <a:prstDash val="dash"/>
                          <a:round/>
                        </a:ln>
                      </wps:spPr>
                      <wps:bodyPr rot="0" vert="horz" wrap="square" lIns="91440" tIns="45720" rIns="91440" bIns="45720" anchor="t" anchorCtr="0" upright="1">
                        <a:noAutofit/>
                      </wps:bodyPr>
                    </wps:wsp>
                  </a:graphicData>
                </a:graphic>
              </wp:anchor>
            </w:drawing>
          </mc:Choice>
          <mc:Fallback>
            <w:pict>
              <v:shape id="椭圆 149" o:spid="_x0000_s1026" o:spt="3" type="#_x0000_t3" style="position:absolute;left:0pt;margin-left:91.95pt;margin-top:115.95pt;height:36pt;width:22.8pt;z-index:251661312;mso-width-relative:page;mso-height-relative:page;" filled="f" stroked="t" coordsize="21600,21600" o:gfxdata="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o1DxtcAAAALAQAADwAAAAAAAAABACAAAAAiAAAAZHJz&#10;L2Rvd25yZXYueG1sUEsBAhQAFAAAAAgAh07iQOihtHc+AgAAXwQAAA4AAAAAAAAAAQAgAAAAJgEA&#10;AGRycy9lMm9Eb2MueG1sUEsFBgAAAAAGAAYAWQEAANYFAAAAAA==&#10;">
                <v:fill on="f" focussize="0,0"/>
                <v:stroke weight="1pt" color="#00B0F0" joinstyle="round" dashstyle="dash"/>
                <v:imagedata o:title=""/>
                <o:lock v:ext="edit" aspectratio="f"/>
              </v:shape>
            </w:pict>
          </mc:Fallback>
        </mc:AlternateContent>
      </w:r>
      <w:r>
        <w:drawing>
          <wp:inline distT="0" distB="0" distL="114300" distR="114300">
            <wp:extent cx="4396740" cy="258318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4396740" cy="2583180"/>
                    </a:xfrm>
                    <a:prstGeom prst="rect">
                      <a:avLst/>
                    </a:prstGeom>
                    <a:noFill/>
                    <a:ln>
                      <a:noFill/>
                    </a:ln>
                  </pic:spPr>
                </pic:pic>
              </a:graphicData>
            </a:graphic>
          </wp:inline>
        </w:drawing>
      </w:r>
    </w:p>
    <w:p w14:paraId="537CF415">
      <w:pPr>
        <w:jc w:val="center"/>
        <w:rPr>
          <w:rFonts w:ascii="Times New Roman" w:hAnsi="Times New Roman" w:cs="Times New Roman"/>
          <w:b/>
          <w:bCs/>
          <w:color w:val="000000"/>
          <w:szCs w:val="32"/>
        </w:rPr>
      </w:pPr>
      <w:r>
        <w:rPr>
          <w:rFonts w:ascii="Times New Roman" w:hAnsi="Times New Roman" w:cs="Times New Roman"/>
          <w:b/>
          <w:bCs/>
          <w:color w:val="000000"/>
          <w:szCs w:val="32"/>
        </w:rPr>
        <w:t>图5-25  焦炉烟气排放口氮氧化物周期年历史数据图</w:t>
      </w:r>
    </w:p>
    <w:p w14:paraId="551E9469">
      <w:pPr>
        <w:pStyle w:val="35"/>
        <w:jc w:val="both"/>
        <w:rPr>
          <w:rFonts w:cs="Times New Roman"/>
        </w:rPr>
      </w:pPr>
      <w:r>
        <w:rPr>
          <w:rFonts w:cs="Times New Roman"/>
        </w:rPr>
        <w:t>根据宝钢股份企业实际调研运行情况，宝钢股份各焦炉烟气排放口至少98.35%以上时间段内烟气氮氧化物排放浓度可控制在130mg/m</w:t>
      </w:r>
      <w:r>
        <w:rPr>
          <w:rFonts w:cs="Times New Roman"/>
          <w:vertAlign w:val="superscript"/>
        </w:rPr>
        <w:t>3</w:t>
      </w:r>
      <w:r>
        <w:rPr>
          <w:rFonts w:cs="Times New Roman"/>
        </w:rPr>
        <w:t>以内。因此，本次标准与《焦化超低意见》及天津市地标要求一致，拟定排放标准限值为130mg/m</w:t>
      </w:r>
      <w:r>
        <w:rPr>
          <w:rFonts w:cs="Times New Roman"/>
          <w:vertAlign w:val="superscript"/>
        </w:rPr>
        <w:t>3</w:t>
      </w:r>
      <w:r>
        <w:rPr>
          <w:rFonts w:cs="Times New Roman"/>
        </w:rPr>
        <w:t>可行。但受开停机、工况波动、主引风机故障等原因影响，还是可能会出现部分时段超标情况。因此，增加备用脱硝设施或备用风机用以应对非正常工况，实现稳定达标。</w:t>
      </w:r>
    </w:p>
    <w:p w14:paraId="57F5F615">
      <w:pPr>
        <w:pStyle w:val="35"/>
        <w:jc w:val="both"/>
        <w:rPr>
          <w:rFonts w:cs="Times New Roman"/>
        </w:rPr>
      </w:pPr>
      <w:r>
        <w:rPr>
          <w:rFonts w:hint="eastAsia" w:cs="Times New Roman"/>
        </w:rPr>
        <w:t>宝武碳业</w:t>
      </w:r>
      <w:r>
        <w:rPr>
          <w:rFonts w:cs="Times New Roman"/>
        </w:rPr>
        <w:t>2022年11月～2025年6月焦化工序燃用煤气的管式炉废气氮氧化物人工监测数据统计结果如下：</w:t>
      </w:r>
    </w:p>
    <w:p w14:paraId="1A26F622">
      <w:pPr>
        <w:spacing w:line="235" w:lineRule="auto"/>
        <w:jc w:val="center"/>
        <w:rPr>
          <w:rFonts w:ascii="Times New Roman" w:hAnsi="Times New Roman" w:cs="Times New Roman"/>
          <w:b/>
          <w:bCs/>
          <w:sz w:val="22"/>
          <w:szCs w:val="28"/>
        </w:rPr>
      </w:pPr>
      <w:r>
        <w:rPr>
          <w:rFonts w:ascii="Times New Roman" w:hAnsi="Times New Roman" w:cs="Times New Roman"/>
          <w:b/>
          <w:bCs/>
          <w:sz w:val="22"/>
          <w:szCs w:val="28"/>
        </w:rPr>
        <w:t>表5-9-2  焦化工序燃用煤气的管式炉废气氮氧化物人工监测数据达标情况一览表</w:t>
      </w:r>
    </w:p>
    <w:tbl>
      <w:tblPr>
        <w:tblStyle w:val="27"/>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849"/>
        <w:gridCol w:w="1104"/>
        <w:gridCol w:w="964"/>
        <w:gridCol w:w="693"/>
        <w:gridCol w:w="819"/>
        <w:gridCol w:w="928"/>
        <w:gridCol w:w="654"/>
        <w:gridCol w:w="654"/>
        <w:gridCol w:w="743"/>
        <w:gridCol w:w="743"/>
      </w:tblGrid>
      <w:tr w14:paraId="2EB7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dxa"/>
            <w:shd w:val="clear" w:color="auto" w:fill="auto"/>
            <w:vAlign w:val="center"/>
          </w:tcPr>
          <w:p w14:paraId="42B6186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849" w:type="dxa"/>
            <w:shd w:val="clear" w:color="auto" w:fill="auto"/>
            <w:vAlign w:val="center"/>
          </w:tcPr>
          <w:p w14:paraId="6C1D6A1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有组织</w:t>
            </w:r>
          </w:p>
          <w:p w14:paraId="6CF1BC2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排放源</w:t>
            </w:r>
          </w:p>
        </w:tc>
        <w:tc>
          <w:tcPr>
            <w:tcW w:w="1104" w:type="dxa"/>
            <w:shd w:val="clear" w:color="auto" w:fill="auto"/>
            <w:vAlign w:val="center"/>
          </w:tcPr>
          <w:p w14:paraId="58D722D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964" w:type="dxa"/>
            <w:shd w:val="clear" w:color="auto" w:fill="auto"/>
            <w:vAlign w:val="center"/>
          </w:tcPr>
          <w:p w14:paraId="3EF03FB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93" w:type="dxa"/>
            <w:shd w:val="clear" w:color="auto" w:fill="auto"/>
            <w:vAlign w:val="center"/>
          </w:tcPr>
          <w:p w14:paraId="76EC50F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026C602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819" w:type="dxa"/>
            <w:shd w:val="clear" w:color="auto" w:fill="auto"/>
            <w:vAlign w:val="center"/>
          </w:tcPr>
          <w:p w14:paraId="61EBE2F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013327E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928" w:type="dxa"/>
            <w:shd w:val="clear" w:color="auto" w:fill="auto"/>
            <w:vAlign w:val="center"/>
          </w:tcPr>
          <w:p w14:paraId="64EE618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95%时间段最大值（mg/m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54" w:type="dxa"/>
            <w:shd w:val="clear" w:color="auto" w:fill="auto"/>
            <w:vAlign w:val="center"/>
          </w:tcPr>
          <w:p w14:paraId="768F568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拟定标准限值</w:t>
            </w:r>
          </w:p>
        </w:tc>
        <w:tc>
          <w:tcPr>
            <w:tcW w:w="654" w:type="dxa"/>
            <w:shd w:val="clear" w:color="auto" w:fill="auto"/>
            <w:vAlign w:val="center"/>
          </w:tcPr>
          <w:p w14:paraId="398A0EE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43" w:type="dxa"/>
            <w:shd w:val="clear" w:color="auto" w:fill="auto"/>
            <w:vAlign w:val="center"/>
          </w:tcPr>
          <w:p w14:paraId="3B129B6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0B333D2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743" w:type="dxa"/>
            <w:shd w:val="clear" w:color="auto" w:fill="auto"/>
            <w:vAlign w:val="center"/>
          </w:tcPr>
          <w:p w14:paraId="5439C9B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7669672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2312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72" w:type="dxa"/>
            <w:shd w:val="clear" w:color="auto" w:fill="auto"/>
            <w:vAlign w:val="center"/>
          </w:tcPr>
          <w:p w14:paraId="0B6C45C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849" w:type="dxa"/>
            <w:shd w:val="clear" w:color="auto" w:fill="auto"/>
            <w:vAlign w:val="center"/>
          </w:tcPr>
          <w:p w14:paraId="2854224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管式炉等燃用煤气的设施</w:t>
            </w:r>
          </w:p>
        </w:tc>
        <w:tc>
          <w:tcPr>
            <w:tcW w:w="1104" w:type="dxa"/>
            <w:shd w:val="clear" w:color="auto" w:fill="auto"/>
            <w:vAlign w:val="center"/>
          </w:tcPr>
          <w:p w14:paraId="6CB42FF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焦炉煤气脱硫、脱氨、脱氰净化处理，低氮燃烧</w:t>
            </w:r>
          </w:p>
        </w:tc>
        <w:tc>
          <w:tcPr>
            <w:tcW w:w="964" w:type="dxa"/>
            <w:shd w:val="clear" w:color="auto" w:fill="auto"/>
            <w:vAlign w:val="center"/>
          </w:tcPr>
          <w:p w14:paraId="7235119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氮氧化物</w:t>
            </w:r>
          </w:p>
        </w:tc>
        <w:tc>
          <w:tcPr>
            <w:tcW w:w="693" w:type="dxa"/>
            <w:shd w:val="clear" w:color="auto" w:fill="auto"/>
            <w:vAlign w:val="center"/>
          </w:tcPr>
          <w:p w14:paraId="32FA1FD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19</w:t>
            </w:r>
          </w:p>
        </w:tc>
        <w:tc>
          <w:tcPr>
            <w:tcW w:w="819" w:type="dxa"/>
            <w:shd w:val="clear" w:color="auto" w:fill="auto"/>
            <w:vAlign w:val="center"/>
          </w:tcPr>
          <w:p w14:paraId="18B6F61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150</w:t>
            </w:r>
          </w:p>
        </w:tc>
        <w:tc>
          <w:tcPr>
            <w:tcW w:w="928" w:type="dxa"/>
            <w:shd w:val="clear" w:color="auto" w:fill="auto"/>
            <w:vAlign w:val="center"/>
          </w:tcPr>
          <w:p w14:paraId="7702EAC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146</w:t>
            </w:r>
          </w:p>
        </w:tc>
        <w:tc>
          <w:tcPr>
            <w:tcW w:w="654" w:type="dxa"/>
            <w:shd w:val="clear" w:color="auto" w:fill="auto"/>
            <w:vAlign w:val="center"/>
          </w:tcPr>
          <w:p w14:paraId="2BFCA8B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150</w:t>
            </w:r>
          </w:p>
        </w:tc>
        <w:tc>
          <w:tcPr>
            <w:tcW w:w="654" w:type="dxa"/>
            <w:shd w:val="clear" w:color="auto" w:fill="auto"/>
            <w:vAlign w:val="center"/>
          </w:tcPr>
          <w:p w14:paraId="23CC582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743" w:type="dxa"/>
            <w:shd w:val="clear" w:color="auto" w:fill="auto"/>
            <w:vAlign w:val="center"/>
          </w:tcPr>
          <w:p w14:paraId="0F34013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c>
          <w:tcPr>
            <w:tcW w:w="743" w:type="dxa"/>
            <w:shd w:val="clear" w:color="auto" w:fill="auto"/>
            <w:vAlign w:val="center"/>
          </w:tcPr>
          <w:p w14:paraId="4E6E769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r w14:paraId="1015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72" w:type="dxa"/>
            <w:shd w:val="clear" w:color="auto" w:fill="auto"/>
            <w:vAlign w:val="center"/>
          </w:tcPr>
          <w:p w14:paraId="41BDE62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2</w:t>
            </w:r>
          </w:p>
        </w:tc>
        <w:tc>
          <w:tcPr>
            <w:tcW w:w="849" w:type="dxa"/>
            <w:shd w:val="clear" w:color="auto" w:fill="auto"/>
            <w:vAlign w:val="center"/>
          </w:tcPr>
          <w:p w14:paraId="1BC8300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脱硫制酸装置</w:t>
            </w:r>
          </w:p>
        </w:tc>
        <w:tc>
          <w:tcPr>
            <w:tcW w:w="1104" w:type="dxa"/>
            <w:shd w:val="clear" w:color="auto" w:fill="auto"/>
            <w:vAlign w:val="center"/>
          </w:tcPr>
          <w:p w14:paraId="0C7427A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臭氧氧化、碱洗吸收、电除雾</w:t>
            </w:r>
          </w:p>
        </w:tc>
        <w:tc>
          <w:tcPr>
            <w:tcW w:w="964" w:type="dxa"/>
            <w:shd w:val="clear" w:color="auto" w:fill="auto"/>
            <w:vAlign w:val="center"/>
          </w:tcPr>
          <w:p w14:paraId="0D6FD7B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氮氧化物</w:t>
            </w:r>
          </w:p>
        </w:tc>
        <w:tc>
          <w:tcPr>
            <w:tcW w:w="693" w:type="dxa"/>
            <w:shd w:val="clear" w:color="auto" w:fill="auto"/>
            <w:vAlign w:val="center"/>
          </w:tcPr>
          <w:p w14:paraId="2751262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38</w:t>
            </w:r>
          </w:p>
        </w:tc>
        <w:tc>
          <w:tcPr>
            <w:tcW w:w="819" w:type="dxa"/>
            <w:shd w:val="clear" w:color="auto" w:fill="auto"/>
            <w:vAlign w:val="center"/>
          </w:tcPr>
          <w:p w14:paraId="2866581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21</w:t>
            </w:r>
          </w:p>
        </w:tc>
        <w:tc>
          <w:tcPr>
            <w:tcW w:w="928" w:type="dxa"/>
            <w:shd w:val="clear" w:color="auto" w:fill="auto"/>
            <w:vAlign w:val="center"/>
          </w:tcPr>
          <w:p w14:paraId="7AAB392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14</w:t>
            </w:r>
          </w:p>
        </w:tc>
        <w:tc>
          <w:tcPr>
            <w:tcW w:w="654" w:type="dxa"/>
            <w:shd w:val="clear" w:color="auto" w:fill="auto"/>
            <w:vAlign w:val="center"/>
          </w:tcPr>
          <w:p w14:paraId="471C9B2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150</w:t>
            </w:r>
          </w:p>
        </w:tc>
        <w:tc>
          <w:tcPr>
            <w:tcW w:w="654" w:type="dxa"/>
            <w:shd w:val="clear" w:color="auto" w:fill="auto"/>
            <w:vAlign w:val="center"/>
          </w:tcPr>
          <w:p w14:paraId="6DE40EB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100</w:t>
            </w:r>
          </w:p>
        </w:tc>
        <w:tc>
          <w:tcPr>
            <w:tcW w:w="743" w:type="dxa"/>
            <w:shd w:val="clear" w:color="auto" w:fill="auto"/>
            <w:vAlign w:val="center"/>
          </w:tcPr>
          <w:p w14:paraId="6A73F89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0</w:t>
            </w:r>
          </w:p>
        </w:tc>
        <w:tc>
          <w:tcPr>
            <w:tcW w:w="743" w:type="dxa"/>
            <w:shd w:val="clear" w:color="auto" w:fill="auto"/>
            <w:vAlign w:val="center"/>
          </w:tcPr>
          <w:p w14:paraId="358434A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w:t>
            </w:r>
          </w:p>
        </w:tc>
      </w:tr>
    </w:tbl>
    <w:p w14:paraId="6A569AA2">
      <w:pPr>
        <w:pStyle w:val="35"/>
        <w:jc w:val="both"/>
        <w:rPr>
          <w:rFonts w:cs="Times New Roman"/>
        </w:rPr>
      </w:pPr>
      <w:r>
        <w:rPr>
          <w:rFonts w:cs="Times New Roman"/>
          <w:b/>
          <w:bCs/>
        </w:rPr>
        <w:t>管式炉等燃用煤气的设施烟气：</w:t>
      </w:r>
      <w:r>
        <w:rPr>
          <w:rFonts w:cs="Times New Roman"/>
        </w:rPr>
        <w:t>目前，国内钢焦联合焦化企业、独立焦化企业对于管式炉等燃用煤气的设施烟气多数未采用脱硝措施，根据宝武碳业企业实际调研运行情况，管式炉等燃用煤气的设施烟气氮氧化物外排浓度虽然100%时间段内能满足150mg/m</w:t>
      </w:r>
      <w:r>
        <w:rPr>
          <w:rFonts w:cs="Times New Roman"/>
          <w:vertAlign w:val="superscript"/>
        </w:rPr>
        <w:t>3</w:t>
      </w:r>
      <w:r>
        <w:rPr>
          <w:rFonts w:cs="Times New Roman"/>
        </w:rPr>
        <w:t>要求，但管式炉外排烟气的污染物浓度受制于焦炉荒煤气脱氨、脱氰净化设施运行效率、运行稳定性等因素影响，管式炉外排烟气中氮氧化物的浓度仍存在不达标排放的风险，宝武碳业目前正在推进焦化企业超低排放改造工作，拟立项实施管式炉清洁燃料替代（将焦炉煤气更改为清洁燃料天然气）改造项目，以实现氮氧化物外排浓度稳定满足150mg/m</w:t>
      </w:r>
      <w:r>
        <w:rPr>
          <w:rFonts w:cs="Times New Roman"/>
          <w:vertAlign w:val="superscript"/>
        </w:rPr>
        <w:t>3</w:t>
      </w:r>
      <w:r>
        <w:rPr>
          <w:rFonts w:cs="Times New Roman"/>
        </w:rPr>
        <w:t>要求。</w:t>
      </w:r>
    </w:p>
    <w:p w14:paraId="1753D371">
      <w:pPr>
        <w:pStyle w:val="35"/>
        <w:jc w:val="both"/>
        <w:rPr>
          <w:rFonts w:cs="Times New Roman"/>
        </w:rPr>
      </w:pPr>
      <w:r>
        <w:rPr>
          <w:rFonts w:cs="Times New Roman"/>
          <w:b/>
          <w:bCs/>
        </w:rPr>
        <w:t>脱硫制酸装置烟气</w:t>
      </w:r>
      <w:r>
        <w:rPr>
          <w:rFonts w:cs="Times New Roman"/>
        </w:rPr>
        <w:t>：根据宝武碳业企业实际调研运行情况，脱硫制酸装置尾气采用臭氧氧化脱硝+碱洗吸收+电除雾处理工艺，设施烟气氮氧化物外排浓度100%时间段内能满足150mg/m</w:t>
      </w:r>
      <w:r>
        <w:rPr>
          <w:rFonts w:cs="Times New Roman"/>
          <w:vertAlign w:val="superscript"/>
        </w:rPr>
        <w:t>3</w:t>
      </w:r>
      <w:r>
        <w:rPr>
          <w:rFonts w:cs="Times New Roman"/>
        </w:rPr>
        <w:t>要求，因此，拟定脱硫制酸装置烟气氮氧化物排放标准限值为150mg/m</w:t>
      </w:r>
      <w:r>
        <w:rPr>
          <w:rFonts w:cs="Times New Roman"/>
          <w:vertAlign w:val="superscript"/>
        </w:rPr>
        <w:t>3</w:t>
      </w:r>
      <w:r>
        <w:rPr>
          <w:rFonts w:cs="Times New Roman"/>
        </w:rPr>
        <w:t>可行。</w:t>
      </w:r>
    </w:p>
    <w:p w14:paraId="4B5A23A8">
      <w:pPr>
        <w:pStyle w:val="35"/>
        <w:jc w:val="both"/>
        <w:rPr>
          <w:rFonts w:cs="Times New Roman"/>
        </w:rPr>
      </w:pPr>
      <w:r>
        <w:rPr>
          <w:rFonts w:cs="Times New Roman"/>
        </w:rPr>
        <w:t>（3）炼铁、轧钢工序</w:t>
      </w:r>
    </w:p>
    <w:p w14:paraId="0FAC0AA5">
      <w:pPr>
        <w:pStyle w:val="35"/>
        <w:jc w:val="both"/>
        <w:rPr>
          <w:rFonts w:cs="Times New Roman"/>
        </w:rPr>
      </w:pPr>
      <w:r>
        <w:rPr>
          <w:rFonts w:cs="Times New Roman"/>
        </w:rPr>
        <w:t>热风炉烟气氮氧化物产生浓度一般在200mg/m</w:t>
      </w:r>
      <w:r>
        <w:rPr>
          <w:rFonts w:cs="Times New Roman"/>
          <w:vertAlign w:val="superscript"/>
        </w:rPr>
        <w:t>3</w:t>
      </w:r>
      <w:r>
        <w:rPr>
          <w:rFonts w:cs="Times New Roman"/>
        </w:rPr>
        <w:t>以下，通过采取低氮燃烧技术及空燃比优化调节技术，使得高炉煤气完全燃烧，一氧化碳及氮氧化物产生浓度降低。轧钢工序通过采取低氮燃烧技术及空燃比优化调节技术，使得煤气完全燃烧，一氧化碳及氮氧化物产生浓度降低。</w:t>
      </w:r>
    </w:p>
    <w:p w14:paraId="425C36E0">
      <w:pPr>
        <w:pStyle w:val="35"/>
        <w:jc w:val="both"/>
        <w:rPr>
          <w:rFonts w:cs="Times New Roman"/>
        </w:rPr>
      </w:pPr>
      <w:r>
        <w:rPr>
          <w:rFonts w:cs="Times New Roman"/>
        </w:rPr>
        <w:t>宝钢股份2023年10月～2024年9月高炉热风炉、轧钢各类加热炉（含退火炉、均热炉、淬火炉、回火炉、烘烤炉）烟气氮氧化物在线监测数据统计结果如下：</w:t>
      </w:r>
    </w:p>
    <w:p w14:paraId="47188A71">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表5-10  高炉热风炉、轧钢各类加热炉烟气氮氧化物数据达标情况一览表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984"/>
        <w:gridCol w:w="966"/>
        <w:gridCol w:w="967"/>
        <w:gridCol w:w="693"/>
        <w:gridCol w:w="847"/>
        <w:gridCol w:w="899"/>
        <w:gridCol w:w="683"/>
        <w:gridCol w:w="684"/>
        <w:gridCol w:w="684"/>
        <w:gridCol w:w="743"/>
      </w:tblGrid>
      <w:tr w14:paraId="1B56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dxa"/>
            <w:shd w:val="clear" w:color="auto" w:fill="auto"/>
            <w:vAlign w:val="center"/>
          </w:tcPr>
          <w:p w14:paraId="6F9420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984" w:type="dxa"/>
            <w:shd w:val="clear" w:color="auto" w:fill="auto"/>
            <w:vAlign w:val="center"/>
          </w:tcPr>
          <w:p w14:paraId="5FAEC67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有组织</w:t>
            </w:r>
          </w:p>
          <w:p w14:paraId="001E0B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排放源</w:t>
            </w:r>
          </w:p>
        </w:tc>
        <w:tc>
          <w:tcPr>
            <w:tcW w:w="966" w:type="dxa"/>
            <w:shd w:val="clear" w:color="auto" w:fill="auto"/>
            <w:vAlign w:val="center"/>
          </w:tcPr>
          <w:p w14:paraId="534FBC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967" w:type="dxa"/>
            <w:shd w:val="clear" w:color="auto" w:fill="auto"/>
            <w:vAlign w:val="center"/>
          </w:tcPr>
          <w:p w14:paraId="1600259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93" w:type="dxa"/>
            <w:shd w:val="clear" w:color="auto" w:fill="auto"/>
            <w:vAlign w:val="center"/>
          </w:tcPr>
          <w:p w14:paraId="462062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269665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847" w:type="dxa"/>
            <w:shd w:val="clear" w:color="auto" w:fill="auto"/>
            <w:vAlign w:val="center"/>
          </w:tcPr>
          <w:p w14:paraId="60A0D30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5A5FD3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最大值</w:t>
            </w:r>
          </w:p>
          <w:p w14:paraId="1E458C5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899" w:type="dxa"/>
            <w:shd w:val="clear" w:color="auto" w:fill="auto"/>
            <w:vAlign w:val="center"/>
          </w:tcPr>
          <w:p w14:paraId="0A8C30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95%时间段最大值</w:t>
            </w:r>
          </w:p>
          <w:p w14:paraId="29D4FF3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83" w:type="dxa"/>
            <w:shd w:val="clear" w:color="auto" w:fill="auto"/>
            <w:vAlign w:val="center"/>
          </w:tcPr>
          <w:p w14:paraId="730E8A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拟定</w:t>
            </w:r>
          </w:p>
          <w:p w14:paraId="5DAA29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标准</w:t>
            </w:r>
          </w:p>
          <w:p w14:paraId="4BE30A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限值</w:t>
            </w:r>
          </w:p>
        </w:tc>
        <w:tc>
          <w:tcPr>
            <w:tcW w:w="684" w:type="dxa"/>
            <w:shd w:val="clear" w:color="auto" w:fill="auto"/>
            <w:vAlign w:val="center"/>
          </w:tcPr>
          <w:p w14:paraId="5E2CA8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684" w:type="dxa"/>
            <w:shd w:val="clear" w:color="auto" w:fill="auto"/>
            <w:vAlign w:val="center"/>
          </w:tcPr>
          <w:p w14:paraId="4105C4E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6A6565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743" w:type="dxa"/>
            <w:shd w:val="clear" w:color="auto" w:fill="auto"/>
            <w:vAlign w:val="center"/>
          </w:tcPr>
          <w:p w14:paraId="51D0656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3E76B0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3AF6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72" w:type="dxa"/>
            <w:shd w:val="clear" w:color="auto" w:fill="auto"/>
            <w:vAlign w:val="center"/>
          </w:tcPr>
          <w:p w14:paraId="2BAA4CA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984" w:type="dxa"/>
            <w:shd w:val="clear" w:color="auto" w:fill="auto"/>
            <w:vAlign w:val="center"/>
          </w:tcPr>
          <w:p w14:paraId="1509927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热风炉</w:t>
            </w:r>
          </w:p>
          <w:p w14:paraId="1E5346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烟气</w:t>
            </w:r>
          </w:p>
        </w:tc>
        <w:tc>
          <w:tcPr>
            <w:tcW w:w="966" w:type="dxa"/>
            <w:shd w:val="clear" w:color="auto" w:fill="auto"/>
            <w:vAlign w:val="center"/>
          </w:tcPr>
          <w:p w14:paraId="16249CD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净化后煤气+钙基固定床脱硫</w:t>
            </w:r>
          </w:p>
        </w:tc>
        <w:tc>
          <w:tcPr>
            <w:tcW w:w="967" w:type="dxa"/>
            <w:shd w:val="clear" w:color="auto" w:fill="auto"/>
            <w:vAlign w:val="center"/>
          </w:tcPr>
          <w:p w14:paraId="4DAA906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氮氧化物</w:t>
            </w:r>
          </w:p>
        </w:tc>
        <w:tc>
          <w:tcPr>
            <w:tcW w:w="693" w:type="dxa"/>
            <w:shd w:val="clear" w:color="auto" w:fill="auto"/>
            <w:vAlign w:val="center"/>
          </w:tcPr>
          <w:p w14:paraId="10056E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34011</w:t>
            </w:r>
          </w:p>
        </w:tc>
        <w:tc>
          <w:tcPr>
            <w:tcW w:w="847" w:type="dxa"/>
            <w:shd w:val="clear" w:color="auto" w:fill="auto"/>
            <w:vAlign w:val="center"/>
          </w:tcPr>
          <w:p w14:paraId="62F1A9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206.13</w:t>
            </w:r>
          </w:p>
        </w:tc>
        <w:tc>
          <w:tcPr>
            <w:tcW w:w="899" w:type="dxa"/>
            <w:shd w:val="clear" w:color="auto" w:fill="auto"/>
            <w:vAlign w:val="center"/>
          </w:tcPr>
          <w:p w14:paraId="16A571A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136.85</w:t>
            </w:r>
          </w:p>
        </w:tc>
        <w:tc>
          <w:tcPr>
            <w:tcW w:w="683" w:type="dxa"/>
            <w:shd w:val="clear" w:color="auto" w:fill="auto"/>
            <w:vAlign w:val="center"/>
          </w:tcPr>
          <w:p w14:paraId="5698AEE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150</w:t>
            </w:r>
          </w:p>
        </w:tc>
        <w:tc>
          <w:tcPr>
            <w:tcW w:w="684" w:type="dxa"/>
            <w:shd w:val="clear" w:color="auto" w:fill="auto"/>
            <w:vAlign w:val="center"/>
          </w:tcPr>
          <w:p w14:paraId="3294B9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98.41</w:t>
            </w:r>
          </w:p>
        </w:tc>
        <w:tc>
          <w:tcPr>
            <w:tcW w:w="684" w:type="dxa"/>
            <w:shd w:val="clear" w:color="auto" w:fill="auto"/>
            <w:vAlign w:val="center"/>
          </w:tcPr>
          <w:p w14:paraId="4A0999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542</w:t>
            </w:r>
          </w:p>
        </w:tc>
        <w:tc>
          <w:tcPr>
            <w:tcW w:w="743" w:type="dxa"/>
            <w:vMerge w:val="restart"/>
            <w:shd w:val="clear" w:color="auto" w:fill="auto"/>
            <w:vAlign w:val="center"/>
          </w:tcPr>
          <w:p w14:paraId="34F5833C">
            <w:pPr>
              <w:keepNext w:val="0"/>
              <w:keepLines w:val="0"/>
              <w:widowControl/>
              <w:suppressLineNumbers w:val="0"/>
              <w:spacing w:before="0" w:beforeAutospacing="0" w:after="0" w:afterAutospacing="0"/>
              <w:ind w:left="-60" w:right="-60" w:rightChars="-25"/>
              <w:jc w:val="both"/>
              <w:rPr>
                <w:rFonts w:hint="eastAsia" w:ascii="Times New Roman" w:hAnsi="Times New Roman" w:cs="Times New Roman"/>
                <w:sz w:val="18"/>
                <w:szCs w:val="18"/>
              </w:rPr>
            </w:pPr>
            <w:r>
              <w:rPr>
                <w:rFonts w:hint="eastAsia" w:ascii="Times New Roman" w:hAnsi="Times New Roman" w:cs="Times New Roman"/>
                <w:sz w:val="18"/>
                <w:szCs w:val="18"/>
              </w:rPr>
              <w:t>1、启、停炉；</w:t>
            </w:r>
          </w:p>
          <w:p w14:paraId="571EC87B">
            <w:pPr>
              <w:keepNext w:val="0"/>
              <w:keepLines w:val="0"/>
              <w:widowControl/>
              <w:suppressLineNumbers w:val="0"/>
              <w:spacing w:before="0" w:beforeAutospacing="0" w:after="0" w:afterAutospacing="0"/>
              <w:ind w:left="-60" w:right="0"/>
              <w:jc w:val="both"/>
              <w:rPr>
                <w:rFonts w:hint="eastAsia" w:ascii="Times New Roman" w:hAnsi="Times New Roman" w:cs="Times New Roman"/>
                <w:sz w:val="18"/>
                <w:szCs w:val="18"/>
              </w:rPr>
            </w:pPr>
            <w:r>
              <w:rPr>
                <w:rFonts w:hint="eastAsia" w:ascii="Times New Roman" w:hAnsi="Times New Roman" w:cs="Times New Roman"/>
                <w:sz w:val="18"/>
                <w:szCs w:val="18"/>
              </w:rPr>
              <w:t>2、炉子熄火；3、工况波动</w:t>
            </w:r>
          </w:p>
        </w:tc>
      </w:tr>
      <w:tr w14:paraId="39A3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72" w:type="dxa"/>
            <w:vMerge w:val="restart"/>
            <w:shd w:val="clear" w:color="auto" w:fill="auto"/>
            <w:vAlign w:val="center"/>
          </w:tcPr>
          <w:p w14:paraId="7FA320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bookmarkStart w:id="85" w:name="_Hlk209193045"/>
            <w:r>
              <w:rPr>
                <w:rFonts w:hint="eastAsia" w:ascii="Times New Roman" w:hAnsi="Times New Roman" w:cs="Times New Roman"/>
                <w:sz w:val="18"/>
                <w:szCs w:val="18"/>
              </w:rPr>
              <w:t>2</w:t>
            </w:r>
          </w:p>
        </w:tc>
        <w:tc>
          <w:tcPr>
            <w:tcW w:w="984" w:type="dxa"/>
            <w:vMerge w:val="restart"/>
            <w:shd w:val="clear" w:color="auto" w:fill="auto"/>
            <w:vAlign w:val="center"/>
          </w:tcPr>
          <w:p w14:paraId="17E567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退火炉、烘烤炉</w:t>
            </w:r>
          </w:p>
          <w:p w14:paraId="61A281E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废气</w:t>
            </w:r>
          </w:p>
        </w:tc>
        <w:tc>
          <w:tcPr>
            <w:tcW w:w="966" w:type="dxa"/>
            <w:vMerge w:val="restart"/>
            <w:shd w:val="clear" w:color="auto" w:fill="auto"/>
            <w:vAlign w:val="center"/>
          </w:tcPr>
          <w:p w14:paraId="5C8434B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燃用净化煤气</w:t>
            </w:r>
          </w:p>
        </w:tc>
        <w:tc>
          <w:tcPr>
            <w:tcW w:w="967" w:type="dxa"/>
            <w:vMerge w:val="restart"/>
            <w:shd w:val="clear" w:color="auto" w:fill="auto"/>
            <w:vAlign w:val="center"/>
          </w:tcPr>
          <w:p w14:paraId="47520BA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氮氧化物</w:t>
            </w:r>
          </w:p>
        </w:tc>
        <w:tc>
          <w:tcPr>
            <w:tcW w:w="693" w:type="dxa"/>
            <w:vMerge w:val="restart"/>
            <w:shd w:val="clear" w:color="auto" w:fill="auto"/>
            <w:vAlign w:val="center"/>
          </w:tcPr>
          <w:p w14:paraId="69AF9F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184736</w:t>
            </w:r>
          </w:p>
        </w:tc>
        <w:tc>
          <w:tcPr>
            <w:tcW w:w="847" w:type="dxa"/>
            <w:vMerge w:val="restart"/>
            <w:shd w:val="clear" w:color="auto" w:fill="auto"/>
            <w:vAlign w:val="center"/>
          </w:tcPr>
          <w:p w14:paraId="66D797E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26999</w:t>
            </w:r>
          </w:p>
        </w:tc>
        <w:tc>
          <w:tcPr>
            <w:tcW w:w="899" w:type="dxa"/>
            <w:vMerge w:val="restart"/>
            <w:shd w:val="clear" w:color="auto" w:fill="auto"/>
            <w:vAlign w:val="center"/>
          </w:tcPr>
          <w:p w14:paraId="5910C2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93.1</w:t>
            </w:r>
          </w:p>
        </w:tc>
        <w:tc>
          <w:tcPr>
            <w:tcW w:w="683" w:type="dxa"/>
            <w:shd w:val="clear" w:color="auto" w:fill="auto"/>
            <w:vAlign w:val="center"/>
          </w:tcPr>
          <w:p w14:paraId="322C6E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150</w:t>
            </w:r>
          </w:p>
        </w:tc>
        <w:tc>
          <w:tcPr>
            <w:tcW w:w="684" w:type="dxa"/>
            <w:shd w:val="clear" w:color="auto" w:fill="auto"/>
            <w:vAlign w:val="center"/>
          </w:tcPr>
          <w:p w14:paraId="5C56595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99.87</w:t>
            </w:r>
          </w:p>
        </w:tc>
        <w:tc>
          <w:tcPr>
            <w:tcW w:w="684" w:type="dxa"/>
            <w:shd w:val="clear" w:color="auto" w:fill="auto"/>
            <w:vAlign w:val="center"/>
          </w:tcPr>
          <w:p w14:paraId="17A0294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228</w:t>
            </w:r>
          </w:p>
        </w:tc>
        <w:tc>
          <w:tcPr>
            <w:tcW w:w="743" w:type="dxa"/>
            <w:vMerge w:val="continue"/>
            <w:shd w:val="clear" w:color="auto" w:fill="auto"/>
            <w:vAlign w:val="center"/>
          </w:tcPr>
          <w:p w14:paraId="4F0C3F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bookmarkEnd w:id="85"/>
      <w:tr w14:paraId="70F1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72" w:type="dxa"/>
            <w:vMerge w:val="continue"/>
            <w:shd w:val="clear" w:color="auto" w:fill="auto"/>
            <w:vAlign w:val="center"/>
          </w:tcPr>
          <w:p w14:paraId="2D8497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84" w:type="dxa"/>
            <w:vMerge w:val="continue"/>
            <w:shd w:val="clear" w:color="auto" w:fill="auto"/>
            <w:vAlign w:val="center"/>
          </w:tcPr>
          <w:p w14:paraId="218179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66" w:type="dxa"/>
            <w:vMerge w:val="continue"/>
            <w:shd w:val="clear" w:color="auto" w:fill="auto"/>
            <w:vAlign w:val="center"/>
          </w:tcPr>
          <w:p w14:paraId="27A50B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67" w:type="dxa"/>
            <w:vMerge w:val="continue"/>
            <w:shd w:val="clear" w:color="auto" w:fill="auto"/>
            <w:vAlign w:val="center"/>
          </w:tcPr>
          <w:p w14:paraId="7C1E59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693" w:type="dxa"/>
            <w:vMerge w:val="continue"/>
            <w:shd w:val="clear" w:color="auto" w:fill="auto"/>
            <w:vAlign w:val="center"/>
          </w:tcPr>
          <w:p w14:paraId="329C4C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847" w:type="dxa"/>
            <w:vMerge w:val="continue"/>
            <w:shd w:val="clear" w:color="auto" w:fill="auto"/>
            <w:vAlign w:val="center"/>
          </w:tcPr>
          <w:p w14:paraId="17BFE51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899" w:type="dxa"/>
            <w:vMerge w:val="continue"/>
            <w:shd w:val="clear" w:color="auto" w:fill="auto"/>
            <w:vAlign w:val="center"/>
          </w:tcPr>
          <w:p w14:paraId="3E40A6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683" w:type="dxa"/>
            <w:shd w:val="clear" w:color="auto" w:fill="auto"/>
            <w:vAlign w:val="center"/>
          </w:tcPr>
          <w:p w14:paraId="39D3F6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200</w:t>
            </w:r>
          </w:p>
        </w:tc>
        <w:tc>
          <w:tcPr>
            <w:tcW w:w="684" w:type="dxa"/>
            <w:shd w:val="clear" w:color="auto" w:fill="auto"/>
            <w:vAlign w:val="center"/>
          </w:tcPr>
          <w:p w14:paraId="047E177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99.96</w:t>
            </w:r>
          </w:p>
        </w:tc>
        <w:tc>
          <w:tcPr>
            <w:tcW w:w="684" w:type="dxa"/>
            <w:shd w:val="clear" w:color="auto" w:fill="auto"/>
            <w:vAlign w:val="center"/>
          </w:tcPr>
          <w:p w14:paraId="07DF8B6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78</w:t>
            </w:r>
          </w:p>
        </w:tc>
        <w:tc>
          <w:tcPr>
            <w:tcW w:w="743" w:type="dxa"/>
            <w:vMerge w:val="continue"/>
            <w:shd w:val="clear" w:color="auto" w:fill="auto"/>
            <w:vAlign w:val="center"/>
          </w:tcPr>
          <w:p w14:paraId="0D99058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tr w14:paraId="3410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72" w:type="dxa"/>
            <w:vMerge w:val="restart"/>
            <w:shd w:val="clear" w:color="auto" w:fill="auto"/>
            <w:vAlign w:val="center"/>
          </w:tcPr>
          <w:p w14:paraId="5C66F05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w:t>
            </w:r>
          </w:p>
        </w:tc>
        <w:tc>
          <w:tcPr>
            <w:tcW w:w="984" w:type="dxa"/>
            <w:vMerge w:val="restart"/>
            <w:shd w:val="clear" w:color="auto" w:fill="auto"/>
            <w:vAlign w:val="center"/>
          </w:tcPr>
          <w:p w14:paraId="4FC6039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加热炉</w:t>
            </w:r>
          </w:p>
          <w:p w14:paraId="2B19ECB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废气</w:t>
            </w:r>
          </w:p>
        </w:tc>
        <w:tc>
          <w:tcPr>
            <w:tcW w:w="966" w:type="dxa"/>
            <w:vMerge w:val="restart"/>
            <w:shd w:val="clear" w:color="auto" w:fill="auto"/>
            <w:vAlign w:val="center"/>
          </w:tcPr>
          <w:p w14:paraId="6DF478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燃用净化煤气，低氮燃烧</w:t>
            </w:r>
          </w:p>
        </w:tc>
        <w:tc>
          <w:tcPr>
            <w:tcW w:w="967" w:type="dxa"/>
            <w:vMerge w:val="restart"/>
            <w:shd w:val="clear" w:color="auto" w:fill="auto"/>
            <w:vAlign w:val="center"/>
          </w:tcPr>
          <w:p w14:paraId="72E306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氮氧化物</w:t>
            </w:r>
          </w:p>
        </w:tc>
        <w:tc>
          <w:tcPr>
            <w:tcW w:w="693" w:type="dxa"/>
            <w:vMerge w:val="restart"/>
            <w:shd w:val="clear" w:color="auto" w:fill="auto"/>
            <w:vAlign w:val="center"/>
          </w:tcPr>
          <w:p w14:paraId="5E4F85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100596</w:t>
            </w:r>
          </w:p>
        </w:tc>
        <w:tc>
          <w:tcPr>
            <w:tcW w:w="847" w:type="dxa"/>
            <w:vMerge w:val="restart"/>
            <w:shd w:val="clear" w:color="auto" w:fill="auto"/>
            <w:vAlign w:val="center"/>
          </w:tcPr>
          <w:p w14:paraId="66B4E4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753</w:t>
            </w:r>
          </w:p>
        </w:tc>
        <w:tc>
          <w:tcPr>
            <w:tcW w:w="899" w:type="dxa"/>
            <w:vMerge w:val="restart"/>
            <w:shd w:val="clear" w:color="auto" w:fill="auto"/>
            <w:vAlign w:val="center"/>
          </w:tcPr>
          <w:p w14:paraId="12D3E3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152.1</w:t>
            </w:r>
          </w:p>
        </w:tc>
        <w:tc>
          <w:tcPr>
            <w:tcW w:w="683" w:type="dxa"/>
            <w:shd w:val="clear" w:color="auto" w:fill="auto"/>
            <w:vAlign w:val="center"/>
          </w:tcPr>
          <w:p w14:paraId="24E7BF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150</w:t>
            </w:r>
          </w:p>
        </w:tc>
        <w:tc>
          <w:tcPr>
            <w:tcW w:w="684" w:type="dxa"/>
            <w:shd w:val="clear" w:color="auto" w:fill="auto"/>
            <w:vAlign w:val="center"/>
          </w:tcPr>
          <w:p w14:paraId="3B4891C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96.92</w:t>
            </w:r>
          </w:p>
        </w:tc>
        <w:tc>
          <w:tcPr>
            <w:tcW w:w="684" w:type="dxa"/>
            <w:shd w:val="clear" w:color="auto" w:fill="auto"/>
            <w:vAlign w:val="center"/>
          </w:tcPr>
          <w:p w14:paraId="3CB885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3098</w:t>
            </w:r>
          </w:p>
        </w:tc>
        <w:tc>
          <w:tcPr>
            <w:tcW w:w="743" w:type="dxa"/>
            <w:vMerge w:val="continue"/>
            <w:shd w:val="clear" w:color="auto" w:fill="auto"/>
            <w:vAlign w:val="center"/>
          </w:tcPr>
          <w:p w14:paraId="35BFF79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tr w14:paraId="4B25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72" w:type="dxa"/>
            <w:vMerge w:val="continue"/>
            <w:shd w:val="clear" w:color="auto" w:fill="auto"/>
            <w:vAlign w:val="center"/>
          </w:tcPr>
          <w:p w14:paraId="18409E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84" w:type="dxa"/>
            <w:vMerge w:val="continue"/>
            <w:shd w:val="clear" w:color="auto" w:fill="auto"/>
            <w:vAlign w:val="center"/>
          </w:tcPr>
          <w:p w14:paraId="79D8BE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66" w:type="dxa"/>
            <w:vMerge w:val="continue"/>
            <w:shd w:val="clear" w:color="auto" w:fill="auto"/>
            <w:vAlign w:val="center"/>
          </w:tcPr>
          <w:p w14:paraId="17F6B5D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67" w:type="dxa"/>
            <w:vMerge w:val="continue"/>
            <w:shd w:val="clear" w:color="auto" w:fill="auto"/>
            <w:vAlign w:val="center"/>
          </w:tcPr>
          <w:p w14:paraId="5E151D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693" w:type="dxa"/>
            <w:vMerge w:val="continue"/>
            <w:shd w:val="clear" w:color="auto" w:fill="auto"/>
            <w:vAlign w:val="center"/>
          </w:tcPr>
          <w:p w14:paraId="4F4374B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847" w:type="dxa"/>
            <w:vMerge w:val="continue"/>
            <w:shd w:val="clear" w:color="auto" w:fill="auto"/>
            <w:vAlign w:val="center"/>
          </w:tcPr>
          <w:p w14:paraId="4EBD51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899" w:type="dxa"/>
            <w:vMerge w:val="continue"/>
            <w:shd w:val="clear" w:color="auto" w:fill="auto"/>
            <w:vAlign w:val="center"/>
          </w:tcPr>
          <w:p w14:paraId="68DD91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683" w:type="dxa"/>
            <w:shd w:val="clear" w:color="auto" w:fill="auto"/>
            <w:vAlign w:val="center"/>
          </w:tcPr>
          <w:p w14:paraId="130FF90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200</w:t>
            </w:r>
          </w:p>
        </w:tc>
        <w:tc>
          <w:tcPr>
            <w:tcW w:w="684" w:type="dxa"/>
            <w:shd w:val="clear" w:color="auto" w:fill="auto"/>
            <w:vAlign w:val="center"/>
          </w:tcPr>
          <w:p w14:paraId="0D62C2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99.78</w:t>
            </w:r>
          </w:p>
        </w:tc>
        <w:tc>
          <w:tcPr>
            <w:tcW w:w="684" w:type="dxa"/>
            <w:shd w:val="clear" w:color="auto" w:fill="auto"/>
            <w:vAlign w:val="center"/>
          </w:tcPr>
          <w:p w14:paraId="0F2D21A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225</w:t>
            </w:r>
          </w:p>
        </w:tc>
        <w:tc>
          <w:tcPr>
            <w:tcW w:w="743" w:type="dxa"/>
            <w:vMerge w:val="continue"/>
            <w:shd w:val="clear" w:color="auto" w:fill="auto"/>
            <w:vAlign w:val="center"/>
          </w:tcPr>
          <w:p w14:paraId="6F85DD6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tr w14:paraId="629A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72" w:type="dxa"/>
            <w:vMerge w:val="restart"/>
            <w:shd w:val="clear" w:color="auto" w:fill="auto"/>
            <w:vAlign w:val="center"/>
          </w:tcPr>
          <w:p w14:paraId="3C55933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4</w:t>
            </w:r>
          </w:p>
        </w:tc>
        <w:tc>
          <w:tcPr>
            <w:tcW w:w="984" w:type="dxa"/>
            <w:vMerge w:val="restart"/>
            <w:shd w:val="clear" w:color="auto" w:fill="auto"/>
            <w:vAlign w:val="center"/>
          </w:tcPr>
          <w:p w14:paraId="46AC79A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退火炉、均热炉、淬火炉</w:t>
            </w:r>
          </w:p>
          <w:p w14:paraId="2F5EF9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废气</w:t>
            </w:r>
          </w:p>
        </w:tc>
        <w:tc>
          <w:tcPr>
            <w:tcW w:w="966" w:type="dxa"/>
            <w:vMerge w:val="restart"/>
            <w:shd w:val="clear" w:color="auto" w:fill="auto"/>
            <w:vAlign w:val="center"/>
          </w:tcPr>
          <w:p w14:paraId="47ACAE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燃用净化煤气，低氮燃烧</w:t>
            </w:r>
          </w:p>
        </w:tc>
        <w:tc>
          <w:tcPr>
            <w:tcW w:w="967" w:type="dxa"/>
            <w:vMerge w:val="restart"/>
            <w:shd w:val="clear" w:color="auto" w:fill="auto"/>
            <w:vAlign w:val="center"/>
          </w:tcPr>
          <w:p w14:paraId="599B64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氮氧化物</w:t>
            </w:r>
          </w:p>
        </w:tc>
        <w:tc>
          <w:tcPr>
            <w:tcW w:w="693" w:type="dxa"/>
            <w:vMerge w:val="restart"/>
            <w:shd w:val="clear" w:color="auto" w:fill="auto"/>
            <w:vAlign w:val="center"/>
          </w:tcPr>
          <w:p w14:paraId="63C185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34330</w:t>
            </w:r>
          </w:p>
        </w:tc>
        <w:tc>
          <w:tcPr>
            <w:tcW w:w="847" w:type="dxa"/>
            <w:vMerge w:val="restart"/>
            <w:shd w:val="clear" w:color="auto" w:fill="auto"/>
            <w:vAlign w:val="center"/>
          </w:tcPr>
          <w:p w14:paraId="3AF52B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13228</w:t>
            </w:r>
          </w:p>
        </w:tc>
        <w:tc>
          <w:tcPr>
            <w:tcW w:w="899" w:type="dxa"/>
            <w:vMerge w:val="restart"/>
            <w:shd w:val="clear" w:color="auto" w:fill="auto"/>
            <w:vAlign w:val="center"/>
          </w:tcPr>
          <w:p w14:paraId="1A3565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87.3</w:t>
            </w:r>
          </w:p>
        </w:tc>
        <w:tc>
          <w:tcPr>
            <w:tcW w:w="683" w:type="dxa"/>
            <w:shd w:val="clear" w:color="auto" w:fill="auto"/>
            <w:vAlign w:val="center"/>
          </w:tcPr>
          <w:p w14:paraId="3B62D7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150</w:t>
            </w:r>
          </w:p>
        </w:tc>
        <w:tc>
          <w:tcPr>
            <w:tcW w:w="684" w:type="dxa"/>
            <w:shd w:val="clear" w:color="auto" w:fill="auto"/>
            <w:vAlign w:val="center"/>
          </w:tcPr>
          <w:p w14:paraId="29BC445F">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99.62</w:t>
            </w:r>
          </w:p>
        </w:tc>
        <w:tc>
          <w:tcPr>
            <w:tcW w:w="684" w:type="dxa"/>
            <w:shd w:val="clear" w:color="auto" w:fill="auto"/>
            <w:vAlign w:val="center"/>
          </w:tcPr>
          <w:p w14:paraId="6586B958">
            <w:pPr>
              <w:keepNext w:val="0"/>
              <w:keepLines w:val="0"/>
              <w:widowControl/>
              <w:suppressLineNumbers w:val="0"/>
              <w:spacing w:before="0" w:beforeAutospacing="0" w:after="0" w:afterAutospacing="0"/>
              <w:ind w:left="0" w:right="0"/>
              <w:jc w:val="center"/>
              <w:rPr>
                <w:rFonts w:hint="eastAsia" w:ascii="Times New Roman" w:hAnsi="Times New Roman" w:cs="Times New Roman"/>
                <w:sz w:val="18"/>
                <w:szCs w:val="18"/>
              </w:rPr>
            </w:pPr>
            <w:r>
              <w:rPr>
                <w:rFonts w:hint="eastAsia" w:ascii="Times New Roman" w:hAnsi="Times New Roman" w:cs="Times New Roman"/>
                <w:sz w:val="18"/>
                <w:szCs w:val="18"/>
              </w:rPr>
              <w:t>132</w:t>
            </w:r>
          </w:p>
        </w:tc>
        <w:tc>
          <w:tcPr>
            <w:tcW w:w="743" w:type="dxa"/>
            <w:vMerge w:val="continue"/>
            <w:shd w:val="clear" w:color="auto" w:fill="auto"/>
            <w:vAlign w:val="center"/>
          </w:tcPr>
          <w:p w14:paraId="14607E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tr w14:paraId="0B93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72" w:type="dxa"/>
            <w:vMerge w:val="continue"/>
            <w:shd w:val="clear" w:color="auto" w:fill="auto"/>
            <w:vAlign w:val="center"/>
          </w:tcPr>
          <w:p w14:paraId="5583531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84" w:type="dxa"/>
            <w:vMerge w:val="continue"/>
            <w:shd w:val="clear" w:color="auto" w:fill="auto"/>
            <w:vAlign w:val="center"/>
          </w:tcPr>
          <w:p w14:paraId="4B2D669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66" w:type="dxa"/>
            <w:vMerge w:val="continue"/>
            <w:shd w:val="clear" w:color="auto" w:fill="auto"/>
            <w:vAlign w:val="center"/>
          </w:tcPr>
          <w:p w14:paraId="16B561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967" w:type="dxa"/>
            <w:vMerge w:val="continue"/>
            <w:shd w:val="clear" w:color="auto" w:fill="auto"/>
            <w:vAlign w:val="center"/>
          </w:tcPr>
          <w:p w14:paraId="05B2F6D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693" w:type="dxa"/>
            <w:vMerge w:val="continue"/>
            <w:shd w:val="clear" w:color="auto" w:fill="auto"/>
            <w:vAlign w:val="center"/>
          </w:tcPr>
          <w:p w14:paraId="34A992B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847" w:type="dxa"/>
            <w:vMerge w:val="continue"/>
            <w:shd w:val="clear" w:color="auto" w:fill="auto"/>
            <w:vAlign w:val="center"/>
          </w:tcPr>
          <w:p w14:paraId="694685F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899" w:type="dxa"/>
            <w:vMerge w:val="continue"/>
            <w:shd w:val="clear" w:color="auto" w:fill="auto"/>
            <w:vAlign w:val="center"/>
          </w:tcPr>
          <w:p w14:paraId="752F29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c>
          <w:tcPr>
            <w:tcW w:w="683" w:type="dxa"/>
            <w:shd w:val="clear" w:color="auto" w:fill="auto"/>
            <w:vAlign w:val="center"/>
          </w:tcPr>
          <w:p w14:paraId="44F997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200</w:t>
            </w:r>
          </w:p>
        </w:tc>
        <w:tc>
          <w:tcPr>
            <w:tcW w:w="684" w:type="dxa"/>
            <w:shd w:val="clear" w:color="auto" w:fill="auto"/>
            <w:vAlign w:val="center"/>
          </w:tcPr>
          <w:p w14:paraId="76ADEB0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99.85</w:t>
            </w:r>
          </w:p>
        </w:tc>
        <w:tc>
          <w:tcPr>
            <w:tcW w:w="684" w:type="dxa"/>
            <w:shd w:val="clear" w:color="auto" w:fill="auto"/>
            <w:vAlign w:val="center"/>
          </w:tcPr>
          <w:p w14:paraId="6A0B70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r>
              <w:rPr>
                <w:rFonts w:hint="eastAsia" w:ascii="Times New Roman" w:hAnsi="Times New Roman" w:cs="Times New Roman"/>
                <w:sz w:val="18"/>
                <w:szCs w:val="18"/>
              </w:rPr>
              <w:t>53</w:t>
            </w:r>
          </w:p>
        </w:tc>
        <w:tc>
          <w:tcPr>
            <w:tcW w:w="743" w:type="dxa"/>
            <w:vMerge w:val="continue"/>
            <w:shd w:val="clear" w:color="auto" w:fill="auto"/>
            <w:vAlign w:val="center"/>
          </w:tcPr>
          <w:p w14:paraId="13BDDA1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18"/>
                <w:szCs w:val="18"/>
              </w:rPr>
            </w:pPr>
          </w:p>
        </w:tc>
      </w:tr>
    </w:tbl>
    <w:p w14:paraId="2D0C38C7">
      <w:pPr>
        <w:jc w:val="center"/>
        <w:rPr>
          <w:rFonts w:ascii="Times New Roman" w:hAnsi="Times New Roman" w:eastAsia="仿宋_GB2312" w:cs="Times New Roman"/>
          <w:bCs/>
          <w:sz w:val="28"/>
          <w:szCs w:val="28"/>
        </w:rPr>
      </w:pPr>
      <w:r>
        <w:rPr>
          <w:rFonts w:ascii="Times New Roman" w:hAnsi="Times New Roman" w:cs="Times New Roman"/>
        </w:rPr>
        <w:drawing>
          <wp:inline distT="0" distB="0" distL="0" distR="0">
            <wp:extent cx="4125595" cy="2480310"/>
            <wp:effectExtent l="19050" t="19050" r="27305" b="15240"/>
            <wp:docPr id="571366" name="图片 16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66" name="图片 169" descr="图表&#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125600" cy="2480400"/>
                    </a:xfrm>
                    <a:prstGeom prst="rect">
                      <a:avLst/>
                    </a:prstGeom>
                    <a:noFill/>
                    <a:ln w="6350" cmpd="sng">
                      <a:solidFill>
                        <a:srgbClr val="000000"/>
                      </a:solidFill>
                      <a:miter lim="800000"/>
                      <a:headEnd/>
                      <a:tailEnd/>
                    </a:ln>
                    <a:effectLst/>
                  </pic:spPr>
                </pic:pic>
              </a:graphicData>
            </a:graphic>
          </wp:inline>
        </w:drawing>
      </w:r>
      <w:bookmarkStart w:id="166" w:name="_GoBack"/>
      <w:bookmarkEnd w:id="166"/>
    </w:p>
    <w:p w14:paraId="070C005E">
      <w:pPr>
        <w:jc w:val="center"/>
        <w:rPr>
          <w:rFonts w:ascii="Times New Roman" w:hAnsi="Times New Roman" w:cs="Times New Roman"/>
          <w:b/>
          <w:bCs/>
          <w:color w:val="000000"/>
          <w:szCs w:val="32"/>
        </w:rPr>
      </w:pPr>
      <w:r>
        <w:rPr>
          <w:rFonts w:ascii="Times New Roman" w:hAnsi="Times New Roman" w:cs="Times New Roman"/>
          <w:b/>
          <w:bCs/>
          <w:color w:val="000000"/>
          <w:szCs w:val="32"/>
        </w:rPr>
        <w:t>图5-26  热风炉烟气排放口氮氧化物周期年历史数据图</w:t>
      </w:r>
    </w:p>
    <w:p w14:paraId="75E396B5">
      <w:pPr>
        <w:jc w:val="center"/>
        <w:rPr>
          <w:rFonts w:ascii="Times New Roman" w:hAnsi="Times New Roman" w:eastAsia="仿宋_GB2312" w:cs="Times New Roman"/>
          <w:bCs/>
          <w:sz w:val="28"/>
          <w:szCs w:val="28"/>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3566160</wp:posOffset>
                </wp:positionH>
                <wp:positionV relativeFrom="paragraph">
                  <wp:posOffset>1696085</wp:posOffset>
                </wp:positionV>
                <wp:extent cx="819150" cy="264160"/>
                <wp:effectExtent l="0" t="0" r="0" b="2540"/>
                <wp:wrapNone/>
                <wp:docPr id="6" name="文本框 6"/>
                <wp:cNvGraphicFramePr/>
                <a:graphic xmlns:a="http://schemas.openxmlformats.org/drawingml/2006/main">
                  <a:graphicData uri="http://schemas.microsoft.com/office/word/2010/wordprocessingShape">
                    <wps:wsp>
                      <wps:cNvSpPr txBox="1"/>
                      <wps:spPr>
                        <a:xfrm>
                          <a:off x="0" y="0"/>
                          <a:ext cx="819260" cy="264278"/>
                        </a:xfrm>
                        <a:prstGeom prst="rect">
                          <a:avLst/>
                        </a:prstGeom>
                        <a:noFill/>
                        <a:ln w="6350">
                          <a:noFill/>
                        </a:ln>
                      </wps:spPr>
                      <wps:txbx>
                        <w:txbxContent>
                          <w:p w14:paraId="0EF6FC4D">
                            <w:pPr>
                              <w:snapToGrid w:val="0"/>
                              <w:rPr>
                                <w:sz w:val="20"/>
                              </w:rPr>
                            </w:pPr>
                            <w:r>
                              <w:rPr>
                                <w:rFonts w:hint="eastAsia"/>
                                <w:sz w:val="20"/>
                              </w:rPr>
                              <w:t>标准值150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8pt;margin-top:133.55pt;height:20.8pt;width:64.5pt;z-index:251664384;mso-width-relative:page;mso-height-relative:page;" filled="f" stroked="f" coordsize="21600,21600" o:gfxdata="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1VhO/cAAAACwEAAA8AAAAAAAAAAQAgAAAAIgAAAGRy&#10;cy9kb3ducmV2LnhtbFBLAQIUABQAAAAIAIdO4kCEviOBOgIAAGUEAAAOAAAAAAAAAAEAIAAAACsB&#10;AABkcnMvZTJvRG9jLnhtbFBLBQYAAAAABgAGAFkBAADXBQAAAAA=&#10;">
                <v:fill on="f" focussize="0,0"/>
                <v:stroke on="f" weight="0.5pt"/>
                <v:imagedata o:title=""/>
                <o:lock v:ext="edit" aspectratio="f"/>
                <v:textbox>
                  <w:txbxContent>
                    <w:p w14:paraId="0EF6FC4D">
                      <w:pPr>
                        <w:snapToGrid w:val="0"/>
                        <w:rPr>
                          <w:sz w:val="20"/>
                        </w:rPr>
                      </w:pPr>
                      <w:r>
                        <w:rPr>
                          <w:rFonts w:hint="eastAsia"/>
                          <w:sz w:val="20"/>
                        </w:rPr>
                        <w:t>标准值150</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1332230</wp:posOffset>
                </wp:positionH>
                <wp:positionV relativeFrom="paragraph">
                  <wp:posOffset>1733550</wp:posOffset>
                </wp:positionV>
                <wp:extent cx="3390265" cy="8890"/>
                <wp:effectExtent l="19050" t="19050" r="20320" b="29845"/>
                <wp:wrapNone/>
                <wp:docPr id="5" name="直接连接符 5"/>
                <wp:cNvGraphicFramePr/>
                <a:graphic xmlns:a="http://schemas.openxmlformats.org/drawingml/2006/main">
                  <a:graphicData uri="http://schemas.microsoft.com/office/word/2010/wordprocessingShape">
                    <wps:wsp>
                      <wps:cNvCnPr/>
                      <wps:spPr>
                        <a:xfrm>
                          <a:off x="0" y="0"/>
                          <a:ext cx="3390181" cy="862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4.9pt;margin-top:136.5pt;height:0.7pt;width:266.95pt;z-index:251663360;mso-width-relative:page;mso-height-relative:page;" filled="f" stroked="t" coordsize="21600,21600" o:gfxdata="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j1b9sAAAALAQAADwAAAAAAAAABACAAAAAiAAAAZHJzL2Rvd25yZXYueG1sUEsBAhQAFAAA&#10;AAgAh07iQJdGPuHsAQAAtQMAAA4AAAAAAAAAAQAgAAAAKgEAAGRycy9lMm9Eb2MueG1sUEsFBgAA&#10;AAAGAAYAWQEAAIgFAAAAAA==&#10;">
                <v:fill on="f" focussize="0,0"/>
                <v:stroke weight="2.25pt" color="#0070C0 [3204]" miterlimit="8" joinstyle="miter"/>
                <v:imagedata o:title=""/>
                <o:lock v:ext="edit" aspectratio="f"/>
              </v:line>
            </w:pict>
          </mc:Fallback>
        </mc:AlternateContent>
      </w:r>
      <w:r>
        <w:rPr>
          <w:rFonts w:ascii="Times New Roman" w:hAnsi="Times New Roman" w:cs="Times New Roman"/>
        </w:rPr>
        <w:drawing>
          <wp:inline distT="0" distB="0" distL="0" distR="0">
            <wp:extent cx="4417060" cy="2480310"/>
            <wp:effectExtent l="19050" t="19050" r="21590" b="15240"/>
            <wp:docPr id="1451102876" name="图片 17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02876" name="图片 176" descr="图表&#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17200" cy="2480400"/>
                    </a:xfrm>
                    <a:prstGeom prst="rect">
                      <a:avLst/>
                    </a:prstGeom>
                    <a:noFill/>
                    <a:ln w="6350" cmpd="sng">
                      <a:solidFill>
                        <a:srgbClr val="000000"/>
                      </a:solidFill>
                      <a:miter lim="800000"/>
                      <a:headEnd/>
                      <a:tailEnd/>
                    </a:ln>
                    <a:effectLst/>
                  </pic:spPr>
                </pic:pic>
              </a:graphicData>
            </a:graphic>
          </wp:inline>
        </w:drawing>
      </w:r>
    </w:p>
    <w:p w14:paraId="346CC43F">
      <w:pPr>
        <w:jc w:val="center"/>
        <w:rPr>
          <w:rFonts w:ascii="Times New Roman" w:hAnsi="Times New Roman" w:cs="Times New Roman"/>
          <w:b/>
          <w:bCs/>
          <w:szCs w:val="32"/>
        </w:rPr>
      </w:pPr>
      <w:r>
        <w:rPr>
          <w:rFonts w:ascii="Times New Roman" w:hAnsi="Times New Roman" w:cs="Times New Roman"/>
          <w:b/>
          <w:bCs/>
          <w:szCs w:val="32"/>
        </w:rPr>
        <w:t>图5-27  退火炉、烘烤炉烟气排放口氮氧化物周期年历史数据图</w:t>
      </w:r>
    </w:p>
    <w:p w14:paraId="16891095">
      <w:pPr>
        <w:jc w:val="center"/>
        <w:rPr>
          <w:rFonts w:ascii="Times New Roman" w:hAnsi="Times New Roman" w:eastAsia="仿宋_GB2312" w:cs="Times New Roman"/>
          <w:bCs/>
          <w:sz w:val="28"/>
          <w:szCs w:val="28"/>
        </w:rPr>
      </w:pPr>
      <w:r>
        <w:rPr>
          <w:rFonts w:ascii="Times New Roman" w:hAnsi="Times New Roman" w:eastAsia="仿宋_GB2312" w:cs="Times New Roman"/>
          <w:bCs/>
          <w:sz w:val="28"/>
          <w:szCs w:val="28"/>
        </w:rPr>
        <mc:AlternateContent>
          <mc:Choice Requires="wps">
            <w:drawing>
              <wp:anchor distT="0" distB="0" distL="114300" distR="114300" simplePos="0" relativeHeight="251666432" behindDoc="0" locked="0" layoutInCell="1" allowOverlap="1">
                <wp:simplePos x="0" y="0"/>
                <wp:positionH relativeFrom="column">
                  <wp:posOffset>3937635</wp:posOffset>
                </wp:positionH>
                <wp:positionV relativeFrom="paragraph">
                  <wp:posOffset>1713865</wp:posOffset>
                </wp:positionV>
                <wp:extent cx="819150" cy="264160"/>
                <wp:effectExtent l="0" t="0" r="1905" b="0"/>
                <wp:wrapNone/>
                <wp:docPr id="8" name="文本框 8"/>
                <wp:cNvGraphicFramePr/>
                <a:graphic xmlns:a="http://schemas.openxmlformats.org/drawingml/2006/main">
                  <a:graphicData uri="http://schemas.microsoft.com/office/word/2010/wordprocessingShape">
                    <wps:wsp>
                      <wps:cNvSpPr txBox="1"/>
                      <wps:spPr>
                        <a:xfrm>
                          <a:off x="0" y="0"/>
                          <a:ext cx="819150" cy="264160"/>
                        </a:xfrm>
                        <a:prstGeom prst="rect">
                          <a:avLst/>
                        </a:prstGeom>
                        <a:solidFill>
                          <a:schemeClr val="bg1">
                            <a:lumMod val="95000"/>
                          </a:schemeClr>
                        </a:solidFill>
                        <a:ln w="6350">
                          <a:noFill/>
                        </a:ln>
                      </wps:spPr>
                      <wps:txbx>
                        <w:txbxContent>
                          <w:p w14:paraId="4A3D1BD9">
                            <w:pPr>
                              <w:snapToGrid w:val="0"/>
                              <w:rPr>
                                <w:sz w:val="20"/>
                              </w:rPr>
                            </w:pPr>
                            <w:r>
                              <w:rPr>
                                <w:rFonts w:hint="eastAsia"/>
                                <w:sz w:val="20"/>
                              </w:rPr>
                              <w:t>标准值150</w:t>
                            </w:r>
                          </w:p>
                        </w:txbxContent>
                      </wps:txbx>
                      <wps:bodyPr rot="0" spcFirstLastPara="0" vertOverflow="overflow" horzOverflow="overflow" vert="horz" wrap="none" lIns="18000" tIns="10800" rIns="18000" bIns="10800" numCol="1" spcCol="0" rtlCol="0" fromWordArt="0" anchor="t" anchorCtr="0" forceAA="0" compatLnSpc="1">
                        <a:spAutoFit/>
                      </wps:bodyPr>
                    </wps:wsp>
                  </a:graphicData>
                </a:graphic>
              </wp:anchor>
            </w:drawing>
          </mc:Choice>
          <mc:Fallback>
            <w:pict>
              <v:shape id="_x0000_s1026" o:spid="_x0000_s1026" o:spt="202" type="#_x0000_t202" style="position:absolute;left:0pt;margin-left:310.05pt;margin-top:134.95pt;height:20.8pt;width:64.5pt;mso-wrap-style:none;z-index:251666432;mso-width-relative:page;mso-height-relative:page;" fillcolor="#F2F2F2 [3052]" filled="t" stroked="f" coordsize="21600,21600" o:gfxdata="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9X&#10;VcnaAAAACwEAAA8AAAAAAAAAAQAgAAAAIgAAAGRycy9kb3ducmV2LnhtbFBLAQIUABQAAAAIAIdO&#10;4kA0Jgp7WgIAAK4EAAAOAAAAAAAAAAEAIAAAACkBAABkcnMvZTJvRG9jLnhtbFBLBQYAAAAABgAG&#10;AFkBAAD1BQAAAAA=&#10;">
                <v:fill on="t" focussize="0,0"/>
                <v:stroke on="f" weight="0.5pt"/>
                <v:imagedata o:title=""/>
                <o:lock v:ext="edit" aspectratio="f"/>
                <v:textbox inset="0.5mm,0.3mm,0.5mm,0.3mm" style="mso-fit-shape-to-text:t;">
                  <w:txbxContent>
                    <w:p w14:paraId="4A3D1BD9">
                      <w:pPr>
                        <w:snapToGrid w:val="0"/>
                        <w:rPr>
                          <w:sz w:val="20"/>
                        </w:rPr>
                      </w:pPr>
                      <w:r>
                        <w:rPr>
                          <w:rFonts w:hint="eastAsia"/>
                          <w:sz w:val="20"/>
                        </w:rPr>
                        <w:t>标准值150</w:t>
                      </w:r>
                    </w:p>
                  </w:txbxContent>
                </v:textbox>
              </v:shape>
            </w:pict>
          </mc:Fallback>
        </mc:AlternateContent>
      </w:r>
      <w:r>
        <w:rPr>
          <w:rFonts w:ascii="Times New Roman" w:hAnsi="Times New Roman" w:eastAsia="仿宋_GB2312" w:cs="Times New Roman"/>
          <w:bCs/>
          <w:sz w:val="28"/>
          <w:szCs w:val="28"/>
        </w:rP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1658620</wp:posOffset>
                </wp:positionV>
                <wp:extent cx="3390265" cy="8890"/>
                <wp:effectExtent l="19050" t="19050" r="20320" b="29845"/>
                <wp:wrapNone/>
                <wp:docPr id="7" name="直接连接符 7"/>
                <wp:cNvGraphicFramePr/>
                <a:graphic xmlns:a="http://schemas.openxmlformats.org/drawingml/2006/main">
                  <a:graphicData uri="http://schemas.microsoft.com/office/word/2010/wordprocessingShape">
                    <wps:wsp>
                      <wps:cNvCnPr/>
                      <wps:spPr>
                        <a:xfrm>
                          <a:off x="0" y="0"/>
                          <a:ext cx="3390181" cy="862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pt;margin-top:130.6pt;height:0.7pt;width:266.95pt;z-index:251665408;mso-width-relative:page;mso-height-relative:page;" filled="f" stroked="t" coordsize="21600,21600" o:gfxdata="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RP/T9sAAAALAQAADwAAAAAAAAABACAAAAAiAAAAZHJzL2Rvd25yZXYueG1sUEsBAhQAFAAA&#10;AAgAh07iQD+RcDrsAQAAtQMAAA4AAAAAAAAAAQAgAAAAKgEAAGRycy9lMm9Eb2MueG1sUEsFBgAA&#10;AAAGAAYAWQEAAIgFAAAAAA==&#10;">
                <v:fill on="f" focussize="0,0"/>
                <v:stroke weight="2.25pt" color="#0070C0 [3204]" miterlimit="8" joinstyle="miter"/>
                <v:imagedata o:title=""/>
                <o:lock v:ext="edit" aspectratio="f"/>
              </v:line>
            </w:pict>
          </mc:Fallback>
        </mc:AlternateContent>
      </w:r>
      <w:r>
        <w:rPr>
          <w:rFonts w:ascii="Times New Roman" w:hAnsi="Times New Roman" w:cs="Times New Roman"/>
        </w:rPr>
        <w:drawing>
          <wp:inline distT="0" distB="0" distL="0" distR="0">
            <wp:extent cx="4417060" cy="2480310"/>
            <wp:effectExtent l="19050" t="19050" r="21590" b="15240"/>
            <wp:docPr id="1420817783" name="图片 17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17783" name="图片 174" descr="图表, 散点图&#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17200" cy="2480400"/>
                    </a:xfrm>
                    <a:prstGeom prst="rect">
                      <a:avLst/>
                    </a:prstGeom>
                    <a:noFill/>
                    <a:ln w="6350" cmpd="sng">
                      <a:solidFill>
                        <a:srgbClr val="000000"/>
                      </a:solidFill>
                      <a:miter lim="800000"/>
                      <a:headEnd/>
                      <a:tailEnd/>
                    </a:ln>
                    <a:effectLst/>
                  </pic:spPr>
                </pic:pic>
              </a:graphicData>
            </a:graphic>
          </wp:inline>
        </w:drawing>
      </w:r>
    </w:p>
    <w:p w14:paraId="7479E085">
      <w:pPr>
        <w:jc w:val="center"/>
        <w:rPr>
          <w:rFonts w:ascii="Times New Roman" w:hAnsi="Times New Roman" w:cs="Times New Roman"/>
          <w:b/>
          <w:bCs/>
        </w:rPr>
      </w:pPr>
      <w:r>
        <w:rPr>
          <w:rFonts w:ascii="Times New Roman" w:hAnsi="Times New Roman" w:cs="Times New Roman"/>
          <w:b/>
          <w:bCs/>
        </w:rPr>
        <w:t>图5-28  加热炉烟气排放口氮氧化物周期年历史数据图</w:t>
      </w:r>
    </w:p>
    <w:p w14:paraId="13D712FB">
      <w:pPr>
        <w:jc w:val="center"/>
        <w:rPr>
          <w:rFonts w:ascii="Times New Roman" w:hAnsi="Times New Roman" w:cs="Times New Roman"/>
        </w:rPr>
      </w:pPr>
      <w:r>
        <mc:AlternateContent>
          <mc:Choice Requires="wps">
            <w:drawing>
              <wp:anchor distT="0" distB="0" distL="114300" distR="114300" simplePos="0" relativeHeight="251667456" behindDoc="0" locked="0" layoutInCell="1" allowOverlap="1">
                <wp:simplePos x="0" y="0"/>
                <wp:positionH relativeFrom="column">
                  <wp:posOffset>1315085</wp:posOffset>
                </wp:positionH>
                <wp:positionV relativeFrom="paragraph">
                  <wp:posOffset>1724660</wp:posOffset>
                </wp:positionV>
                <wp:extent cx="3455670" cy="8890"/>
                <wp:effectExtent l="19050" t="19050" r="30480" b="29210"/>
                <wp:wrapNone/>
                <wp:docPr id="10" name="直接连接符 10"/>
                <wp:cNvGraphicFramePr/>
                <a:graphic xmlns:a="http://schemas.openxmlformats.org/drawingml/2006/main">
                  <a:graphicData uri="http://schemas.microsoft.com/office/word/2010/wordprocessingShape">
                    <wps:wsp>
                      <wps:cNvCnPr/>
                      <wps:spPr>
                        <a:xfrm>
                          <a:off x="0" y="0"/>
                          <a:ext cx="3455670" cy="889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3.55pt;margin-top:135.8pt;height:0.7pt;width:272.1pt;z-index:251667456;mso-width-relative:page;mso-height-relative:page;" filled="f" stroked="t" coordsize="21600,21600" o:gfxdata="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KTpidsAAAALAQAADwAAAAAAAAABACAAAAAiAAAAZHJzL2Rvd25yZXYueG1sUEsBAhQAFAAA&#10;AAgAh07iQBYiqk3sAQAAtwMAAA4AAAAAAAAAAQAgAAAAKgEAAGRycy9lMm9Eb2MueG1sUEsFBgAA&#10;AAAGAAYAWQEAAIgFAAAAAA==&#10;">
                <v:fill on="f" focussize="0,0"/>
                <v:stroke weight="2.25pt" color="#0070C0 [3204]" miterlimit="8" joinstyle="miter"/>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2354580</wp:posOffset>
                </wp:positionH>
                <wp:positionV relativeFrom="paragraph">
                  <wp:posOffset>1678305</wp:posOffset>
                </wp:positionV>
                <wp:extent cx="819150" cy="264160"/>
                <wp:effectExtent l="0" t="0" r="0" b="2540"/>
                <wp:wrapNone/>
                <wp:docPr id="9" name="文本框 9"/>
                <wp:cNvGraphicFramePr/>
                <a:graphic xmlns:a="http://schemas.openxmlformats.org/drawingml/2006/main">
                  <a:graphicData uri="http://schemas.microsoft.com/office/word/2010/wordprocessingShape">
                    <wps:wsp>
                      <wps:cNvSpPr txBox="1"/>
                      <wps:spPr>
                        <a:xfrm>
                          <a:off x="0" y="0"/>
                          <a:ext cx="819150" cy="264160"/>
                        </a:xfrm>
                        <a:prstGeom prst="rect">
                          <a:avLst/>
                        </a:prstGeom>
                        <a:noFill/>
                        <a:ln w="6350">
                          <a:noFill/>
                        </a:ln>
                      </wps:spPr>
                      <wps:txbx>
                        <w:txbxContent>
                          <w:p w14:paraId="755866AE">
                            <w:pPr>
                              <w:snapToGrid w:val="0"/>
                              <w:rPr>
                                <w:sz w:val="20"/>
                              </w:rPr>
                            </w:pPr>
                            <w:r>
                              <w:rPr>
                                <w:rFonts w:hint="eastAsia"/>
                                <w:sz w:val="20"/>
                              </w:rPr>
                              <w:t>标准值150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4pt;margin-top:132.15pt;height:20.8pt;width:64.5pt;z-index:251668480;mso-width-relative:page;mso-height-relative:page;" filled="f" stroked="f" coordsize="21600,21600" o:gfxdata="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zARtDcAAAACwEAAA8AAAAAAAAAAQAgAAAAIgAAAGRy&#10;cy9kb3ducmV2LnhtbFBLAQIUABQAAAAIAIdO4kDlTQmHOgIAAGUEAAAOAAAAAAAAAAEAIAAAACsB&#10;AABkcnMvZTJvRG9jLnhtbFBLBQYAAAAABgAGAFkBAADXBQAAAAA=&#10;">
                <v:fill on="f" focussize="0,0"/>
                <v:stroke on="f" weight="0.5pt"/>
                <v:imagedata o:title=""/>
                <o:lock v:ext="edit" aspectratio="f"/>
                <v:textbox>
                  <w:txbxContent>
                    <w:p w14:paraId="755866AE">
                      <w:pPr>
                        <w:snapToGrid w:val="0"/>
                        <w:rPr>
                          <w:sz w:val="20"/>
                        </w:rPr>
                      </w:pPr>
                      <w:r>
                        <w:rPr>
                          <w:rFonts w:hint="eastAsia"/>
                          <w:sz w:val="20"/>
                        </w:rPr>
                        <w:t>标准值150</w:t>
                      </w:r>
                    </w:p>
                  </w:txbxContent>
                </v:textbox>
              </v:shape>
            </w:pict>
          </mc:Fallback>
        </mc:AlternateContent>
      </w:r>
      <w:r>
        <w:rPr>
          <w:rFonts w:ascii="Times New Roman" w:hAnsi="Times New Roman" w:cs="Times New Roman"/>
        </w:rPr>
        <w:drawing>
          <wp:inline distT="0" distB="0" distL="0" distR="0">
            <wp:extent cx="4417060" cy="2480310"/>
            <wp:effectExtent l="19050" t="19050" r="21590" b="15240"/>
            <wp:docPr id="709097547" name="图片 17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97547" name="图片 172" descr="图表&#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417200" cy="2480400"/>
                    </a:xfrm>
                    <a:prstGeom prst="rect">
                      <a:avLst/>
                    </a:prstGeom>
                    <a:noFill/>
                    <a:ln w="6350" cmpd="sng">
                      <a:solidFill>
                        <a:srgbClr val="000000"/>
                      </a:solidFill>
                      <a:miter lim="800000"/>
                      <a:headEnd/>
                      <a:tailEnd/>
                    </a:ln>
                    <a:effectLst/>
                  </pic:spPr>
                </pic:pic>
              </a:graphicData>
            </a:graphic>
          </wp:inline>
        </w:drawing>
      </w:r>
    </w:p>
    <w:p w14:paraId="6B17461C">
      <w:pPr>
        <w:jc w:val="center"/>
        <w:rPr>
          <w:rFonts w:ascii="Times New Roman" w:hAnsi="Times New Roman" w:cs="Times New Roman"/>
          <w:b/>
          <w:bCs/>
        </w:rPr>
      </w:pPr>
      <w:r>
        <w:rPr>
          <w:rFonts w:ascii="Times New Roman" w:hAnsi="Times New Roman" w:cs="Times New Roman"/>
          <w:b/>
          <w:bCs/>
        </w:rPr>
        <w:t>图5-29 退火炉、淬火炉、均热炉烟气排放口氮氧化物周期年历史数据图</w:t>
      </w:r>
    </w:p>
    <w:p w14:paraId="07BFF7F3">
      <w:pPr>
        <w:pStyle w:val="35"/>
        <w:jc w:val="both"/>
        <w:rPr>
          <w:rFonts w:cs="Times New Roman"/>
        </w:rPr>
      </w:pPr>
      <w:r>
        <w:rPr>
          <w:rFonts w:cs="Times New Roman"/>
        </w:rPr>
        <w:t>根据宝钢股份企业实际调研运行情况，98.41%时间段内热风炉烟气氮氧化物排放浓度可控制在150mg/m</w:t>
      </w:r>
      <w:r>
        <w:rPr>
          <w:rFonts w:cs="Times New Roman"/>
          <w:vertAlign w:val="superscript"/>
        </w:rPr>
        <w:t>3</w:t>
      </w:r>
      <w:r>
        <w:rPr>
          <w:rFonts w:cs="Times New Roman"/>
        </w:rPr>
        <w:t>以内</w:t>
      </w:r>
      <w:r>
        <w:rPr>
          <w:rFonts w:hint="eastAsia" w:cs="Times New Roman"/>
        </w:rPr>
        <w:t>；</w:t>
      </w:r>
      <w:r>
        <w:rPr>
          <w:rFonts w:cs="Times New Roman"/>
        </w:rPr>
        <w:t>99.89%时间段内热处理炉烟气氮氧化物排放浓度</w:t>
      </w:r>
      <w:r>
        <w:rPr>
          <w:rFonts w:hint="eastAsia" w:cs="Times New Roman"/>
        </w:rPr>
        <w:t>可控制在2</w:t>
      </w:r>
      <w:r>
        <w:rPr>
          <w:rFonts w:cs="Times New Roman"/>
        </w:rPr>
        <w:t>00 mg/m</w:t>
      </w:r>
      <w:r>
        <w:rPr>
          <w:rFonts w:cs="Times New Roman"/>
          <w:vertAlign w:val="superscript"/>
        </w:rPr>
        <w:t>3</w:t>
      </w:r>
      <w:r>
        <w:rPr>
          <w:rFonts w:cs="Times New Roman"/>
        </w:rPr>
        <w:t>以内</w:t>
      </w:r>
      <w:r>
        <w:rPr>
          <w:rFonts w:hint="eastAsia" w:cs="Times New Roman"/>
        </w:rPr>
        <w:t>，98.92%</w:t>
      </w:r>
      <w:r>
        <w:rPr>
          <w:rFonts w:cs="Times New Roman"/>
        </w:rPr>
        <w:t>时间段内热处理炉烟气氮氧化物排放浓度</w:t>
      </w:r>
      <w:r>
        <w:rPr>
          <w:rFonts w:hint="eastAsia" w:cs="Times New Roman"/>
        </w:rPr>
        <w:t>可控制在</w:t>
      </w:r>
      <w:r>
        <w:rPr>
          <w:rFonts w:cs="Times New Roman"/>
        </w:rPr>
        <w:t>150 mg/m</w:t>
      </w:r>
      <w:r>
        <w:rPr>
          <w:rFonts w:cs="Times New Roman"/>
          <w:vertAlign w:val="superscript"/>
        </w:rPr>
        <w:t>3</w:t>
      </w:r>
      <w:r>
        <w:rPr>
          <w:rFonts w:cs="Times New Roman"/>
        </w:rPr>
        <w:t>以内</w:t>
      </w:r>
      <w:r>
        <w:rPr>
          <w:rFonts w:hint="eastAsia" w:cs="Times New Roman"/>
        </w:rPr>
        <w:t>。目前宝钢股份热风炉和热处理炉采用燃用净化煤气</w:t>
      </w:r>
      <w:r>
        <w:rPr>
          <w:rFonts w:cs="Times New Roman"/>
        </w:rPr>
        <w:t>+低氮燃烧方式治理氮氧化物，未加装脱硝设施</w:t>
      </w:r>
      <w:r>
        <w:rPr>
          <w:rFonts w:hint="eastAsia" w:cs="Times New Roman"/>
        </w:rPr>
        <w:t>。</w:t>
      </w:r>
    </w:p>
    <w:p w14:paraId="1C93A0AC">
      <w:pPr>
        <w:pStyle w:val="35"/>
        <w:jc w:val="both"/>
        <w:rPr>
          <w:rFonts w:hint="eastAsia" w:eastAsia="宋体" w:cs="Times New Roman"/>
          <w:lang w:val="en-US" w:eastAsia="zh-CN"/>
        </w:rPr>
      </w:pPr>
      <w:r>
        <w:rPr>
          <w:rFonts w:hint="eastAsia" w:cs="Times New Roman"/>
        </w:rPr>
        <w:t>经研究讨论，拟设置高炉热风炉环节</w:t>
      </w:r>
      <w:r>
        <w:rPr>
          <w:rFonts w:hint="eastAsia" w:cs="Times New Roman"/>
          <w:lang w:eastAsia="zh-CN"/>
        </w:rPr>
        <w:t>、</w:t>
      </w:r>
      <w:r>
        <w:rPr>
          <w:rFonts w:hint="eastAsia" w:cs="Times New Roman"/>
        </w:rPr>
        <w:t>热处理炉（含加热炉）</w:t>
      </w:r>
      <w:r>
        <w:rPr>
          <w:rFonts w:cs="Times New Roman"/>
        </w:rPr>
        <w:t>NOx浓度限值为150mg/m</w:t>
      </w:r>
      <w:r>
        <w:rPr>
          <w:rFonts w:cs="Times New Roman"/>
          <w:vertAlign w:val="superscript"/>
        </w:rPr>
        <w:t>3</w:t>
      </w:r>
      <w:r>
        <w:rPr>
          <w:rFonts w:cs="Times New Roman"/>
        </w:rPr>
        <w:t>，</w:t>
      </w:r>
      <w:r>
        <w:rPr>
          <w:rFonts w:hint="eastAsia" w:cs="Times New Roman"/>
        </w:rPr>
        <w:t>但需考虑在标准发布和实施的同时建立非正常工况标记规则并实行，对于</w:t>
      </w:r>
      <w:r>
        <w:rPr>
          <w:rFonts w:hint="eastAsia" w:cs="Times New Roman"/>
          <w:lang w:val="en-US" w:eastAsia="zh-CN"/>
        </w:rPr>
        <w:t>启停炉、工况波动等</w:t>
      </w:r>
      <w:r>
        <w:rPr>
          <w:rFonts w:hint="eastAsia" w:cs="Times New Roman"/>
        </w:rPr>
        <w:t>工况导致的超标情况予以豁免，使企业在排放稳定达标的同时保证不增加排放量。</w:t>
      </w:r>
      <w:r>
        <w:rPr>
          <w:rFonts w:hint="eastAsia" w:cs="Times New Roman"/>
          <w:lang w:val="en-US" w:eastAsia="zh-CN"/>
        </w:rPr>
        <w:t>此外，宝钢应在高炉大修时考虑对热风炉加装脱硝设施，待高炉大修后，相应热风炉</w:t>
      </w:r>
      <w:r>
        <w:rPr>
          <w:rFonts w:cs="Times New Roman"/>
        </w:rPr>
        <w:t>NOx浓度</w:t>
      </w:r>
      <w:r>
        <w:rPr>
          <w:rFonts w:hint="eastAsia" w:cs="Times New Roman"/>
          <w:lang w:val="en-US" w:eastAsia="zh-CN"/>
        </w:rPr>
        <w:t>执行</w:t>
      </w:r>
      <w:r>
        <w:rPr>
          <w:rFonts w:cs="Times New Roman"/>
        </w:rPr>
        <w:t>为1</w:t>
      </w:r>
      <w:r>
        <w:rPr>
          <w:rFonts w:hint="eastAsia" w:cs="Times New Roman"/>
          <w:lang w:val="en-US" w:eastAsia="zh-CN"/>
        </w:rPr>
        <w:t>0</w:t>
      </w:r>
      <w:r>
        <w:rPr>
          <w:rFonts w:cs="Times New Roman"/>
        </w:rPr>
        <w:t>0mg/m</w:t>
      </w:r>
      <w:r>
        <w:rPr>
          <w:rFonts w:cs="Times New Roman"/>
          <w:vertAlign w:val="superscript"/>
        </w:rPr>
        <w:t>3</w:t>
      </w:r>
      <w:r>
        <w:rPr>
          <w:rFonts w:hint="eastAsia" w:cs="Times New Roman"/>
          <w:lang w:eastAsia="zh-CN"/>
        </w:rPr>
        <w:t>。</w:t>
      </w:r>
    </w:p>
    <w:p w14:paraId="6F716936">
      <w:pPr>
        <w:pStyle w:val="35"/>
        <w:jc w:val="both"/>
        <w:rPr>
          <w:rFonts w:cs="Times New Roman"/>
        </w:rPr>
      </w:pPr>
      <w:r>
        <w:rPr>
          <w:rFonts w:hint="eastAsia" w:cs="Times New Roman"/>
        </w:rPr>
        <w:t>此外，轧钢废酸再生烟气氮氧化物限值参考《</w:t>
      </w:r>
      <w:r>
        <w:rPr>
          <w:rFonts w:cs="Times New Roman"/>
        </w:rPr>
        <w:t>工业炉窑大气污染物排放标准</w:t>
      </w:r>
      <w:r>
        <w:rPr>
          <w:rFonts w:hint="eastAsia" w:cs="Times New Roman"/>
        </w:rPr>
        <w:t>》（</w:t>
      </w:r>
      <w:r>
        <w:rPr>
          <w:rFonts w:cs="Times New Roman"/>
        </w:rPr>
        <w:t>DB31/860-2014</w:t>
      </w:r>
      <w:r>
        <w:rPr>
          <w:rFonts w:hint="eastAsia" w:cs="Times New Roman"/>
        </w:rPr>
        <w:t>），拟定</w:t>
      </w:r>
      <w:r>
        <w:rPr>
          <w:rFonts w:cs="Times New Roman"/>
        </w:rPr>
        <w:t>排放限值为200mg/m</w:t>
      </w:r>
      <w:r>
        <w:rPr>
          <w:rFonts w:cs="Times New Roman"/>
          <w:vertAlign w:val="superscript"/>
        </w:rPr>
        <w:t>3</w:t>
      </w:r>
      <w:r>
        <w:rPr>
          <w:rFonts w:hint="eastAsia" w:cs="Times New Roman"/>
        </w:rPr>
        <w:t>；转底炉预处理烘干机和转底炉烟囱参照历史数据及上述工序排放限值，拟定氮氧化物</w:t>
      </w:r>
      <w:r>
        <w:rPr>
          <w:rFonts w:cs="Times New Roman"/>
        </w:rPr>
        <w:t>排放标准限值为</w:t>
      </w:r>
      <w:r>
        <w:rPr>
          <w:rFonts w:hint="eastAsia" w:cs="Times New Roman"/>
        </w:rPr>
        <w:t>1</w:t>
      </w:r>
      <w:r>
        <w:rPr>
          <w:rFonts w:cs="Times New Roman"/>
        </w:rPr>
        <w:t>50mg/m</w:t>
      </w:r>
      <w:r>
        <w:rPr>
          <w:rFonts w:cs="Times New Roman"/>
          <w:vertAlign w:val="superscript"/>
        </w:rPr>
        <w:t>3</w:t>
      </w:r>
      <w:r>
        <w:rPr>
          <w:rFonts w:cs="Times New Roman"/>
        </w:rPr>
        <w:t>。</w:t>
      </w:r>
    </w:p>
    <w:p w14:paraId="6F3FB251">
      <w:pPr>
        <w:pStyle w:val="43"/>
        <w:ind w:firstLine="482"/>
        <w:jc w:val="both"/>
        <w:rPr>
          <w:rFonts w:eastAsia="宋体" w:cs="Times New Roman"/>
        </w:rPr>
      </w:pPr>
      <w:bookmarkStart w:id="86" w:name="_Toc185779062"/>
      <w:bookmarkStart w:id="87" w:name="_Toc185784337"/>
      <w:bookmarkStart w:id="88" w:name="_Toc185778998"/>
      <w:bookmarkStart w:id="89" w:name="_Toc185781627"/>
      <w:bookmarkStart w:id="90" w:name="_Toc217058305"/>
      <w:r>
        <w:rPr>
          <w:rFonts w:eastAsia="宋体" w:cs="Times New Roman"/>
        </w:rPr>
        <w:t>5.2.4 重金属及其他特征污染物</w:t>
      </w:r>
      <w:bookmarkEnd w:id="86"/>
      <w:bookmarkEnd w:id="87"/>
      <w:bookmarkEnd w:id="88"/>
      <w:bookmarkEnd w:id="89"/>
      <w:bookmarkEnd w:id="90"/>
    </w:p>
    <w:p w14:paraId="33695B6F">
      <w:pPr>
        <w:pStyle w:val="35"/>
        <w:jc w:val="both"/>
        <w:rPr>
          <w:rFonts w:cs="Times New Roman"/>
        </w:rPr>
      </w:pPr>
      <w:r>
        <w:rPr>
          <w:rFonts w:cs="Times New Roman"/>
          <w:b/>
          <w:bCs/>
        </w:rPr>
        <w:t>氟化物：</w:t>
      </w:r>
      <w:r>
        <w:rPr>
          <w:rFonts w:cs="Times New Roman"/>
        </w:rPr>
        <w:t>根据现有的技术资料，目前宝钢股份采用低氟的原料，大大降低污染物排放浓度，目前国内外烧结机头氟化物的排放浓度一般在0.5～2mg/m</w:t>
      </w:r>
      <w:r>
        <w:rPr>
          <w:rFonts w:cs="Times New Roman"/>
          <w:vertAlign w:val="superscript"/>
        </w:rPr>
        <w:t>3</w:t>
      </w:r>
      <w:r>
        <w:rPr>
          <w:rFonts w:cs="Times New Roman"/>
        </w:rPr>
        <w:t>，不用采取治理措施即可满足排放标准要求。</w:t>
      </w:r>
      <w:r>
        <w:rPr>
          <w:rFonts w:hint="eastAsia" w:cs="Times New Roman"/>
        </w:rPr>
        <w:t>目前《钢铁烧结、球团工业大气污染物排放标准》（</w:t>
      </w:r>
      <w:r>
        <w:rPr>
          <w:rFonts w:cs="Times New Roman"/>
        </w:rPr>
        <w:t>GB28662-2012）及绝大部分地标均为4.0mg/m</w:t>
      </w:r>
      <w:r>
        <w:rPr>
          <w:rFonts w:cs="Times New Roman"/>
          <w:vertAlign w:val="superscript"/>
        </w:rPr>
        <w:t>3</w:t>
      </w:r>
      <w:r>
        <w:rPr>
          <w:rFonts w:cs="Times New Roman"/>
        </w:rPr>
        <w:t>，山东地标为3.0mg/m</w:t>
      </w:r>
      <w:r>
        <w:rPr>
          <w:rFonts w:cs="Times New Roman"/>
          <w:vertAlign w:val="superscript"/>
        </w:rPr>
        <w:t>3</w:t>
      </w:r>
      <w:r>
        <w:rPr>
          <w:rFonts w:cs="Times New Roman"/>
        </w:rPr>
        <w:t>，因此氟化物排放限值执行3.0mg/m</w:t>
      </w:r>
      <w:r>
        <w:rPr>
          <w:rFonts w:cs="Times New Roman"/>
          <w:vertAlign w:val="superscript"/>
        </w:rPr>
        <w:t>3</w:t>
      </w:r>
      <w:r>
        <w:rPr>
          <w:rFonts w:cs="Times New Roman"/>
        </w:rPr>
        <w:t>。</w:t>
      </w:r>
    </w:p>
    <w:p w14:paraId="552081FC">
      <w:pPr>
        <w:pStyle w:val="35"/>
        <w:jc w:val="both"/>
        <w:rPr>
          <w:rFonts w:cs="Times New Roman"/>
        </w:rPr>
      </w:pPr>
      <w:r>
        <w:rPr>
          <w:rFonts w:cs="Times New Roman"/>
          <w:b/>
          <w:bCs/>
        </w:rPr>
        <w:t>二噁英：</w:t>
      </w:r>
      <w:r>
        <w:rPr>
          <w:rFonts w:cs="Times New Roman"/>
        </w:rPr>
        <w:t>在烧结（球团）工序中，二噁英主要来源于配料返回含油轧钢氧化铁皮与生产中浓盐水及其他氯化物的混料回用，氯化物与有机物在烧结原料中铜离子的催化作用下经热反应过程在一定温度下形成二噁英类物质。通过选用低氯化物原料以及废气循环的措施可有效降低废气中二噁英的排放浓度。《钢铁烧结、球团工业大气污染物排放标准》（GB28662-2012）要求烧结机头烟气中二噁英排放浓度小于0.5ng-TEQ/m</w:t>
      </w:r>
      <w:r>
        <w:rPr>
          <w:rFonts w:cs="Times New Roman"/>
          <w:vertAlign w:val="superscript"/>
        </w:rPr>
        <w:t>3</w:t>
      </w:r>
      <w:r>
        <w:rPr>
          <w:rFonts w:cs="Times New Roman"/>
        </w:rPr>
        <w:t>。目前主要通过脱硫与除尘设施协同去除烟气中的二噁英，综合分析宝钢股份手工监测数据可知，烧结机机头烟气、竖炉、链篦机-回转窑和带式焙烧机焙烧烟气二噁英排放浓度均可控制在0.</w:t>
      </w:r>
      <w:r>
        <w:rPr>
          <w:rFonts w:hint="eastAsia" w:cs="Times New Roman"/>
          <w:lang w:val="en-US" w:eastAsia="zh-CN"/>
        </w:rPr>
        <w:t>2</w:t>
      </w:r>
      <w:r>
        <w:rPr>
          <w:rFonts w:cs="Times New Roman"/>
        </w:rPr>
        <w:t>ng-TEQ/m</w:t>
      </w:r>
      <w:r>
        <w:rPr>
          <w:rFonts w:cs="Times New Roman"/>
          <w:vertAlign w:val="superscript"/>
        </w:rPr>
        <w:t>3</w:t>
      </w:r>
      <w:r>
        <w:rPr>
          <w:rFonts w:cs="Times New Roman"/>
        </w:rPr>
        <w:t>以内。因此，本标准取值与</w:t>
      </w:r>
      <w:r>
        <w:rPr>
          <w:rFonts w:hint="eastAsia" w:cs="Times New Roman"/>
          <w:lang w:val="en-US" w:eastAsia="zh-CN"/>
        </w:rPr>
        <w:t>国内最严排放</w:t>
      </w:r>
      <w:r>
        <w:rPr>
          <w:rFonts w:cs="Times New Roman"/>
        </w:rPr>
        <w:t>限值</w:t>
      </w:r>
      <w:r>
        <w:rPr>
          <w:rFonts w:hint="eastAsia" w:cs="Times New Roman"/>
          <w:lang w:eastAsia="zh-CN"/>
        </w:rPr>
        <w:t>（</w:t>
      </w:r>
      <w:r>
        <w:rPr>
          <w:rFonts w:hint="eastAsia" w:cs="Times New Roman"/>
          <w:lang w:val="en-US" w:eastAsia="zh-CN"/>
        </w:rPr>
        <w:t>山东省地标</w:t>
      </w:r>
      <w:r>
        <w:rPr>
          <w:rFonts w:hint="eastAsia" w:cs="Times New Roman"/>
          <w:lang w:eastAsia="zh-CN"/>
        </w:rPr>
        <w:t>）</w:t>
      </w:r>
      <w:r>
        <w:rPr>
          <w:rFonts w:cs="Times New Roman"/>
        </w:rPr>
        <w:t>相同，二噁英排放限值执行0.</w:t>
      </w:r>
      <w:r>
        <w:rPr>
          <w:rFonts w:hint="eastAsia" w:cs="Times New Roman"/>
          <w:lang w:val="en-US" w:eastAsia="zh-CN"/>
        </w:rPr>
        <w:t>2</w:t>
      </w:r>
      <w:r>
        <w:rPr>
          <w:rFonts w:cs="Times New Roman"/>
        </w:rPr>
        <w:t>ngTEQ/m</w:t>
      </w:r>
      <w:r>
        <w:rPr>
          <w:rFonts w:cs="Times New Roman"/>
          <w:vertAlign w:val="superscript"/>
        </w:rPr>
        <w:t>3</w:t>
      </w:r>
      <w:r>
        <w:rPr>
          <w:rFonts w:cs="Times New Roman"/>
        </w:rPr>
        <w:t>。炼钢工序的PCDD/Fs主要产生于电炉。电炉冶炼原料的废钢，一般都含有油脂、油漆涂料、塑料等有机物，废钢预热和装入电炉都将会有PCDD/Fs生成；排放废气中PCDFs异构体较PCDDs多，且含4～6个氯原子的PCDFs和PCDDs占主导地位。根据二噁英的产生机理分析，通过炼钢原料分选、炉内排烟急冷等措施就可以在很大程度上从源头减少二噁英的产生量；根据二噁英的物理性质，150℃以下很容易吸附在细小颗粒物上，可以通过高效除尘或喷吸附剂等措施使其得到高效净化。根据宝钢股份电炉二噁英监测数据，二噁英排放浓度均可控制在0.</w:t>
      </w:r>
      <w:r>
        <w:rPr>
          <w:rFonts w:hint="eastAsia" w:cs="Times New Roman"/>
          <w:lang w:val="en-US" w:eastAsia="zh-CN"/>
        </w:rPr>
        <w:t>2</w:t>
      </w:r>
      <w:r>
        <w:rPr>
          <w:rFonts w:cs="Times New Roman"/>
        </w:rPr>
        <w:t>ng-TEQ/m</w:t>
      </w:r>
      <w:r>
        <w:rPr>
          <w:rFonts w:cs="Times New Roman"/>
          <w:vertAlign w:val="superscript"/>
        </w:rPr>
        <w:t>3</w:t>
      </w:r>
      <w:r>
        <w:rPr>
          <w:rFonts w:cs="Times New Roman"/>
        </w:rPr>
        <w:t>以内，因此按此取值。</w:t>
      </w:r>
    </w:p>
    <w:p w14:paraId="7DDC21E9">
      <w:pPr>
        <w:pStyle w:val="35"/>
        <w:jc w:val="both"/>
        <w:rPr>
          <w:rFonts w:cs="Times New Roman"/>
          <w:b/>
          <w:bCs/>
        </w:rPr>
      </w:pPr>
      <w:r>
        <w:rPr>
          <w:rFonts w:cs="Times New Roman"/>
          <w:b/>
          <w:bCs/>
        </w:rPr>
        <w:t>氨：</w:t>
      </w:r>
      <w:r>
        <w:rPr>
          <w:rFonts w:cs="Times New Roman"/>
        </w:rPr>
        <w:t>采用氨法脱硫、脱硝的设施会产生氨逃逸</w:t>
      </w:r>
      <w:r>
        <w:rPr>
          <w:rFonts w:hint="eastAsia" w:cs="Times New Roman"/>
        </w:rPr>
        <w:t>，</w:t>
      </w:r>
      <w:r>
        <w:rPr>
          <w:rFonts w:cs="Times New Roman"/>
        </w:rPr>
        <w:t>结合宝钢股份手工监测数据及其他省份同类型污染源监测数据，</w:t>
      </w:r>
      <w:r>
        <w:rPr>
          <w:rFonts w:hint="eastAsia" w:cs="Times New Roman"/>
        </w:rPr>
        <w:t>拟定</w:t>
      </w:r>
      <w:r>
        <w:rPr>
          <w:rFonts w:cs="Times New Roman"/>
        </w:rPr>
        <w:t>排放限值</w:t>
      </w:r>
      <w:r>
        <w:rPr>
          <w:rFonts w:hint="eastAsia" w:cs="Times New Roman"/>
        </w:rPr>
        <w:t>为</w:t>
      </w:r>
      <w:r>
        <w:rPr>
          <w:rFonts w:cs="Times New Roman"/>
        </w:rPr>
        <w:t>8.0mg/m</w:t>
      </w:r>
      <w:r>
        <w:rPr>
          <w:rFonts w:cs="Times New Roman"/>
          <w:vertAlign w:val="superscript"/>
        </w:rPr>
        <w:t>3</w:t>
      </w:r>
      <w:r>
        <w:rPr>
          <w:rFonts w:hint="eastAsia" w:cs="Times New Roman"/>
        </w:rPr>
        <w:t>，根据历史手工监测数据，活性焦脱硝设施氨排放浓度达标存在难度，需要加强精准喷氨技术的研究。</w:t>
      </w:r>
      <w:r>
        <w:rPr>
          <w:rFonts w:cs="Times New Roman"/>
        </w:rPr>
        <w:t>硫铵结晶干燥、冷鼓和库区焦油各类贮槽及装卸设施、脱硫再生装置、生产废水处理设施有氨废气产生，结合宝武碳业手工监测数据及其他省份同类型污染源监测数据，排放限值执行10mg/m</w:t>
      </w:r>
      <w:r>
        <w:rPr>
          <w:rFonts w:cs="Times New Roman"/>
          <w:vertAlign w:val="superscript"/>
        </w:rPr>
        <w:t>3</w:t>
      </w:r>
      <w:r>
        <w:rPr>
          <w:rFonts w:cs="Times New Roman"/>
        </w:rPr>
        <w:t>。</w:t>
      </w:r>
    </w:p>
    <w:p w14:paraId="36043FA9">
      <w:pPr>
        <w:pStyle w:val="35"/>
        <w:jc w:val="both"/>
        <w:rPr>
          <w:rFonts w:cs="Times New Roman"/>
        </w:rPr>
      </w:pPr>
      <w:r>
        <w:rPr>
          <w:rFonts w:cs="Times New Roman"/>
          <w:b/>
          <w:bCs/>
        </w:rPr>
        <w:t>酸雾、油雾：</w:t>
      </w:r>
      <w:r>
        <w:rPr>
          <w:rFonts w:hint="eastAsia" w:cs="Times New Roman"/>
          <w:b/>
          <w:bCs/>
        </w:rPr>
        <w:t>对于</w:t>
      </w:r>
      <w:r>
        <w:rPr>
          <w:rFonts w:cs="Times New Roman"/>
        </w:rPr>
        <w:t>轧钢酸洗机组、废酸再生、脱脂及涂层机组的酸雾、油雾、涉VOCs因子的污染物排放限值</w:t>
      </w:r>
      <w:r>
        <w:rPr>
          <w:rFonts w:hint="eastAsia" w:cs="Times New Roman"/>
        </w:rPr>
        <w:t>，</w:t>
      </w:r>
      <w:r>
        <w:rPr>
          <w:rFonts w:cs="Times New Roman"/>
        </w:rPr>
        <w:t>本标准中参照《轧钢工业大气污染物排放标准》（GB 28665-2012）修改单特排限值确定，不予进一步加严。</w:t>
      </w:r>
    </w:p>
    <w:p w14:paraId="60F96AE1">
      <w:pPr>
        <w:pStyle w:val="35"/>
        <w:jc w:val="both"/>
        <w:rPr>
          <w:rFonts w:cs="Times New Roman"/>
        </w:rPr>
      </w:pPr>
      <w:r>
        <w:rPr>
          <w:rFonts w:cs="Times New Roman"/>
          <w:b/>
          <w:bCs/>
        </w:rPr>
        <w:t>VOCs因子、氯化氢、硝酸雾、硫酸雾、铬酸雾：</w:t>
      </w:r>
      <w:r>
        <w:rPr>
          <w:rFonts w:cs="Times New Roman"/>
        </w:rPr>
        <w:t>轧钢酸洗机组、废酸再生、脱脂及涂层机组废气中VOCs、氯化氢、硝酸雾、硫酸雾、铬酸雾排放限值</w:t>
      </w:r>
      <w:r>
        <w:rPr>
          <w:rFonts w:hint="eastAsia" w:cs="Times New Roman"/>
        </w:rPr>
        <w:t>，</w:t>
      </w:r>
      <w:r>
        <w:rPr>
          <w:rFonts w:cs="Times New Roman"/>
        </w:rPr>
        <w:t>本标准基本参照《轧钢工业大气污染物排放标准》（GB 28665-2012）修改单特排限值，结合各省份地方标准限值对其进一步加严</w:t>
      </w:r>
      <w:r>
        <w:rPr>
          <w:rFonts w:hint="eastAsia" w:cs="Times New Roman"/>
        </w:rPr>
        <w:t>；脱硫制酸装置尾气中硫酸雾排放限值本标准参照《炼焦化学工业大气污染物排放标准》（</w:t>
      </w:r>
      <w:r>
        <w:rPr>
          <w:rFonts w:cs="Times New Roman"/>
        </w:rPr>
        <w:t>GB 16171.1-2024）排放限值确定，结合宝武碳业手工监测数据及其他省份同类型污染源监测数据，排放限值执行5mg/m</w:t>
      </w:r>
      <w:r>
        <w:rPr>
          <w:rFonts w:cs="Times New Roman"/>
          <w:vertAlign w:val="superscript"/>
        </w:rPr>
        <w:t>3</w:t>
      </w:r>
      <w:r>
        <w:rPr>
          <w:rFonts w:cs="Times New Roman"/>
        </w:rPr>
        <w:t>。</w:t>
      </w:r>
    </w:p>
    <w:p w14:paraId="44A187EF">
      <w:pPr>
        <w:pStyle w:val="35"/>
        <w:jc w:val="both"/>
        <w:rPr>
          <w:rFonts w:cs="Times New Roman"/>
          <w:b/>
          <w:bCs/>
        </w:rPr>
      </w:pPr>
      <w:r>
        <w:rPr>
          <w:rFonts w:cs="Times New Roman"/>
          <w:b/>
          <w:bCs/>
        </w:rPr>
        <w:t>苯并[a]芘、氰化氢、酚类化合物、苯：</w:t>
      </w:r>
      <w:r>
        <w:rPr>
          <w:rFonts w:cs="Times New Roman"/>
        </w:rPr>
        <w:t>宝武碳业冷鼓和库区焦油各类贮槽及装卸设施、苯贮槽及装卸设施生产中产生的含非甲烷总烃废气经压力平衡系统回煤气负压系统进行集中处理，没有单独的废气排口。结合其他省份地标及国标限值，拟定苯并[a]芘、氰化氢、酚类化合物、苯排放标准限值分别为0.3μg/m</w:t>
      </w:r>
      <w:r>
        <w:rPr>
          <w:rFonts w:cs="Times New Roman"/>
          <w:vertAlign w:val="superscript"/>
        </w:rPr>
        <w:t>3</w:t>
      </w:r>
      <w:r>
        <w:rPr>
          <w:rFonts w:cs="Times New Roman"/>
        </w:rPr>
        <w:t>、1.0mg/m</w:t>
      </w:r>
      <w:r>
        <w:rPr>
          <w:rFonts w:cs="Times New Roman"/>
          <w:vertAlign w:val="superscript"/>
        </w:rPr>
        <w:t>3</w:t>
      </w:r>
      <w:r>
        <w:rPr>
          <w:rFonts w:cs="Times New Roman"/>
        </w:rPr>
        <w:t>、20mg/m</w:t>
      </w:r>
      <w:r>
        <w:rPr>
          <w:rFonts w:cs="Times New Roman"/>
          <w:vertAlign w:val="superscript"/>
        </w:rPr>
        <w:t>3</w:t>
      </w:r>
      <w:r>
        <w:rPr>
          <w:rFonts w:cs="Times New Roman"/>
        </w:rPr>
        <w:t>、4mg/m</w:t>
      </w:r>
      <w:r>
        <w:rPr>
          <w:rFonts w:cs="Times New Roman"/>
          <w:vertAlign w:val="superscript"/>
        </w:rPr>
        <w:t>3</w:t>
      </w:r>
      <w:r>
        <w:rPr>
          <w:rFonts w:cs="Times New Roman"/>
        </w:rPr>
        <w:t>可行。</w:t>
      </w:r>
    </w:p>
    <w:p w14:paraId="007D3BAC">
      <w:pPr>
        <w:pStyle w:val="35"/>
        <w:jc w:val="both"/>
        <w:rPr>
          <w:rFonts w:cs="Times New Roman"/>
          <w:b/>
          <w:bCs/>
        </w:rPr>
      </w:pPr>
      <w:r>
        <w:rPr>
          <w:rFonts w:cs="Times New Roman"/>
          <w:b/>
          <w:bCs/>
        </w:rPr>
        <w:t>非甲烷总烃：</w:t>
      </w:r>
      <w:r>
        <w:rPr>
          <w:rFonts w:cs="Times New Roman"/>
        </w:rPr>
        <w:t>宝武碳业冷鼓和库区焦油各类贮槽及装卸设施、苯贮槽及装卸设施生产中产生的含非甲烷总烃废气经压力平衡系统回煤气负压系统进行集中处理，没有单独的废气排口。结合其他省份地标及国标限值，拟定排放标准限值为50mg/m</w:t>
      </w:r>
      <w:r>
        <w:rPr>
          <w:rFonts w:cs="Times New Roman"/>
          <w:vertAlign w:val="superscript"/>
        </w:rPr>
        <w:t>3</w:t>
      </w:r>
      <w:r>
        <w:rPr>
          <w:rFonts w:cs="Times New Roman"/>
        </w:rPr>
        <w:t>可行。</w:t>
      </w:r>
    </w:p>
    <w:p w14:paraId="1A889D0F">
      <w:pPr>
        <w:pStyle w:val="35"/>
        <w:jc w:val="both"/>
        <w:rPr>
          <w:rFonts w:cs="Times New Roman"/>
        </w:rPr>
      </w:pPr>
      <w:r>
        <w:rPr>
          <w:rFonts w:cs="Times New Roman"/>
        </w:rPr>
        <w:t>焦化生产废水处理设施的非甲烷总烃因子的污染物排放限值本标准中参照《炼焦化学工业大气污染物排放标准》（GB 16171.1-2024）排放限值确定，结合各省份地方标准限值对其进一步加严。</w:t>
      </w:r>
    </w:p>
    <w:p w14:paraId="55EECE41">
      <w:pPr>
        <w:pStyle w:val="35"/>
        <w:jc w:val="both"/>
        <w:rPr>
          <w:rFonts w:cs="Times New Roman"/>
        </w:rPr>
      </w:pPr>
      <w:r>
        <w:rPr>
          <w:rFonts w:hint="eastAsia" w:cs="Times New Roman"/>
          <w:bCs/>
        </w:rPr>
        <w:t>《焦化工业超低排放意见》印发之前，国家对于焦炉烟囱非甲烷总烃排放未进行管控，《焦化工业超低排放意见》和《炼焦化学工业大气污染物排放标准》（</w:t>
      </w:r>
      <w:r>
        <w:rPr>
          <w:rFonts w:cs="Times New Roman"/>
          <w:bCs/>
        </w:rPr>
        <w:t>GB 16171.1-2024）</w:t>
      </w:r>
      <w:r>
        <w:rPr>
          <w:rFonts w:hint="eastAsia" w:cs="Times New Roman"/>
          <w:bCs/>
        </w:rPr>
        <w:t>对焦炉烟囱非甲烷总烃排放限值规定为1</w:t>
      </w:r>
      <w:r>
        <w:rPr>
          <w:rFonts w:cs="Times New Roman"/>
          <w:bCs/>
        </w:rPr>
        <w:t>00</w:t>
      </w:r>
      <w:r>
        <w:rPr>
          <w:rFonts w:cs="Times New Roman"/>
        </w:rPr>
        <w:t xml:space="preserve"> mg/m</w:t>
      </w:r>
      <w:r>
        <w:rPr>
          <w:rFonts w:cs="Times New Roman"/>
          <w:vertAlign w:val="superscript"/>
        </w:rPr>
        <w:t>3</w:t>
      </w:r>
      <w:r>
        <w:rPr>
          <w:rFonts w:hint="eastAsia" w:cs="Times New Roman"/>
        </w:rPr>
        <w:t>，</w:t>
      </w:r>
      <w:r>
        <w:rPr>
          <w:rFonts w:hint="eastAsia" w:cs="Times New Roman"/>
          <w:bCs/>
        </w:rPr>
        <w:t>各省份地标中，仅天津市对焦炉烟囱非甲烷总烃排放限值进行了规定，为50</w:t>
      </w:r>
      <w:r>
        <w:rPr>
          <w:rFonts w:cs="Times New Roman"/>
        </w:rPr>
        <w:t xml:space="preserve"> mg/m</w:t>
      </w:r>
      <w:r>
        <w:rPr>
          <w:rFonts w:cs="Times New Roman"/>
          <w:vertAlign w:val="superscript"/>
        </w:rPr>
        <w:t>3</w:t>
      </w:r>
      <w:r>
        <w:rPr>
          <w:rFonts w:hint="eastAsia" w:cs="Times New Roman"/>
        </w:rPr>
        <w:t>。</w:t>
      </w:r>
    </w:p>
    <w:p w14:paraId="206B2E9C">
      <w:pPr>
        <w:pStyle w:val="35"/>
        <w:jc w:val="both"/>
        <w:rPr>
          <w:rFonts w:cs="Times New Roman"/>
        </w:rPr>
      </w:pPr>
      <w:r>
        <w:rPr>
          <w:rFonts w:cs="Times New Roman"/>
        </w:rPr>
        <w:t>宝钢碳业2023年10月～2024年9月焦化生产废水处理设施烟气非甲烷总烃在线监测数据统计结果如下：</w:t>
      </w:r>
    </w:p>
    <w:p w14:paraId="67263DD8">
      <w:pPr>
        <w:spacing w:line="235" w:lineRule="auto"/>
        <w:jc w:val="center"/>
        <w:rPr>
          <w:rFonts w:ascii="Times New Roman" w:hAnsi="Times New Roman" w:cs="Times New Roman"/>
          <w:b/>
          <w:bCs/>
          <w:szCs w:val="32"/>
        </w:rPr>
      </w:pPr>
      <w:r>
        <w:rPr>
          <w:rFonts w:ascii="Times New Roman" w:hAnsi="Times New Roman" w:cs="Times New Roman"/>
          <w:b/>
          <w:bCs/>
          <w:szCs w:val="32"/>
        </w:rPr>
        <w:t>表5-11  焦化生产废水处理设施非甲烷总烃数据达标情况一览表</w:t>
      </w:r>
    </w:p>
    <w:tbl>
      <w:tblPr>
        <w:tblStyle w:val="27"/>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984"/>
        <w:gridCol w:w="966"/>
        <w:gridCol w:w="967"/>
        <w:gridCol w:w="693"/>
        <w:gridCol w:w="847"/>
        <w:gridCol w:w="899"/>
        <w:gridCol w:w="654"/>
        <w:gridCol w:w="654"/>
        <w:gridCol w:w="743"/>
        <w:gridCol w:w="917"/>
      </w:tblGrid>
      <w:tr w14:paraId="7F24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372" w:type="dxa"/>
            <w:shd w:val="clear" w:color="auto" w:fill="auto"/>
            <w:vAlign w:val="center"/>
          </w:tcPr>
          <w:p w14:paraId="7B40FF6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序号</w:t>
            </w:r>
          </w:p>
        </w:tc>
        <w:tc>
          <w:tcPr>
            <w:tcW w:w="984" w:type="dxa"/>
            <w:shd w:val="clear" w:color="auto" w:fill="auto"/>
            <w:vAlign w:val="center"/>
          </w:tcPr>
          <w:p w14:paraId="0C1B731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有组织排放源</w:t>
            </w:r>
          </w:p>
        </w:tc>
        <w:tc>
          <w:tcPr>
            <w:tcW w:w="966" w:type="dxa"/>
            <w:shd w:val="clear" w:color="auto" w:fill="auto"/>
            <w:vAlign w:val="center"/>
          </w:tcPr>
          <w:p w14:paraId="01216CF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治理措施</w:t>
            </w:r>
          </w:p>
        </w:tc>
        <w:tc>
          <w:tcPr>
            <w:tcW w:w="967" w:type="dxa"/>
            <w:shd w:val="clear" w:color="auto" w:fill="auto"/>
            <w:vAlign w:val="center"/>
          </w:tcPr>
          <w:p w14:paraId="5C5E5A9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污染物</w:t>
            </w:r>
          </w:p>
        </w:tc>
        <w:tc>
          <w:tcPr>
            <w:tcW w:w="693" w:type="dxa"/>
            <w:shd w:val="clear" w:color="auto" w:fill="auto"/>
            <w:vAlign w:val="center"/>
          </w:tcPr>
          <w:p w14:paraId="6818C6B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有效</w:t>
            </w:r>
          </w:p>
          <w:p w14:paraId="210EACC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数据</w:t>
            </w:r>
          </w:p>
        </w:tc>
        <w:tc>
          <w:tcPr>
            <w:tcW w:w="847" w:type="dxa"/>
            <w:shd w:val="clear" w:color="auto" w:fill="auto"/>
            <w:vAlign w:val="center"/>
          </w:tcPr>
          <w:p w14:paraId="5871919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全时段</w:t>
            </w:r>
          </w:p>
          <w:p w14:paraId="27FD735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899" w:type="dxa"/>
            <w:shd w:val="clear" w:color="auto" w:fill="auto"/>
            <w:vAlign w:val="center"/>
          </w:tcPr>
          <w:p w14:paraId="31B9122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Cs w:val="21"/>
              </w:rPr>
            </w:pPr>
            <w:r>
              <w:rPr>
                <w:rFonts w:hint="eastAsia" w:ascii="Times New Roman" w:hAnsi="Times New Roman" w:cs="Times New Roman"/>
                <w:sz w:val="18"/>
                <w:szCs w:val="18"/>
              </w:rPr>
              <w:t>95%时间段最大值（mg/m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654" w:type="dxa"/>
            <w:shd w:val="clear" w:color="auto" w:fill="auto"/>
            <w:vAlign w:val="center"/>
          </w:tcPr>
          <w:p w14:paraId="016A9AA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拟定标准数值</w:t>
            </w:r>
          </w:p>
        </w:tc>
        <w:tc>
          <w:tcPr>
            <w:tcW w:w="654" w:type="dxa"/>
            <w:shd w:val="clear" w:color="auto" w:fill="auto"/>
            <w:vAlign w:val="center"/>
          </w:tcPr>
          <w:p w14:paraId="2E6F5AE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达标率</w:t>
            </w:r>
          </w:p>
        </w:tc>
        <w:tc>
          <w:tcPr>
            <w:tcW w:w="743" w:type="dxa"/>
            <w:shd w:val="clear" w:color="auto" w:fill="auto"/>
            <w:vAlign w:val="center"/>
          </w:tcPr>
          <w:p w14:paraId="38ECF00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5C68E77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数据量</w:t>
            </w:r>
          </w:p>
        </w:tc>
        <w:tc>
          <w:tcPr>
            <w:tcW w:w="917" w:type="dxa"/>
            <w:shd w:val="clear" w:color="auto" w:fill="auto"/>
            <w:vAlign w:val="center"/>
          </w:tcPr>
          <w:p w14:paraId="67AD727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超标</w:t>
            </w:r>
          </w:p>
          <w:p w14:paraId="3D6B1C4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原因</w:t>
            </w:r>
          </w:p>
        </w:tc>
      </w:tr>
      <w:tr w14:paraId="0073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372" w:type="dxa"/>
            <w:shd w:val="clear" w:color="auto" w:fill="auto"/>
            <w:vAlign w:val="center"/>
          </w:tcPr>
          <w:p w14:paraId="02E483F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w:t>
            </w:r>
          </w:p>
        </w:tc>
        <w:tc>
          <w:tcPr>
            <w:tcW w:w="984" w:type="dxa"/>
            <w:shd w:val="clear" w:color="auto" w:fill="auto"/>
            <w:vAlign w:val="center"/>
          </w:tcPr>
          <w:p w14:paraId="462B8A0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焦化生产废水处理设施废气</w:t>
            </w:r>
          </w:p>
        </w:tc>
        <w:tc>
          <w:tcPr>
            <w:tcW w:w="966" w:type="dxa"/>
            <w:shd w:val="clear" w:color="auto" w:fill="auto"/>
            <w:vAlign w:val="center"/>
          </w:tcPr>
          <w:p w14:paraId="63EFE9F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除沫塔、碱洗塔、生物滤池</w:t>
            </w:r>
          </w:p>
        </w:tc>
        <w:tc>
          <w:tcPr>
            <w:tcW w:w="967" w:type="dxa"/>
            <w:shd w:val="clear" w:color="auto" w:fill="auto"/>
            <w:vAlign w:val="center"/>
          </w:tcPr>
          <w:p w14:paraId="2C4D3A8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非甲烷总烃</w:t>
            </w:r>
          </w:p>
        </w:tc>
        <w:tc>
          <w:tcPr>
            <w:tcW w:w="693" w:type="dxa"/>
            <w:shd w:val="clear" w:color="auto" w:fill="auto"/>
            <w:vAlign w:val="center"/>
          </w:tcPr>
          <w:p w14:paraId="220D9AA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25996</w:t>
            </w:r>
          </w:p>
        </w:tc>
        <w:tc>
          <w:tcPr>
            <w:tcW w:w="847" w:type="dxa"/>
            <w:shd w:val="clear" w:color="auto" w:fill="auto"/>
            <w:vAlign w:val="center"/>
          </w:tcPr>
          <w:p w14:paraId="1B1BAB35">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155.71</w:t>
            </w:r>
          </w:p>
        </w:tc>
        <w:tc>
          <w:tcPr>
            <w:tcW w:w="899" w:type="dxa"/>
            <w:shd w:val="clear" w:color="auto" w:fill="auto"/>
            <w:vAlign w:val="center"/>
          </w:tcPr>
          <w:p w14:paraId="0A8DCFA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30.76</w:t>
            </w:r>
          </w:p>
        </w:tc>
        <w:tc>
          <w:tcPr>
            <w:tcW w:w="654" w:type="dxa"/>
            <w:shd w:val="clear" w:color="auto" w:fill="auto"/>
            <w:vAlign w:val="center"/>
          </w:tcPr>
          <w:p w14:paraId="7B22C7C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50</w:t>
            </w:r>
          </w:p>
        </w:tc>
        <w:tc>
          <w:tcPr>
            <w:tcW w:w="654" w:type="dxa"/>
            <w:shd w:val="clear" w:color="auto" w:fill="auto"/>
            <w:vAlign w:val="center"/>
          </w:tcPr>
          <w:p w14:paraId="4B62DFE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99.70</w:t>
            </w:r>
          </w:p>
        </w:tc>
        <w:tc>
          <w:tcPr>
            <w:tcW w:w="743" w:type="dxa"/>
            <w:shd w:val="clear" w:color="auto" w:fill="auto"/>
            <w:vAlign w:val="center"/>
          </w:tcPr>
          <w:p w14:paraId="6DA9F9D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79</w:t>
            </w:r>
          </w:p>
        </w:tc>
        <w:tc>
          <w:tcPr>
            <w:tcW w:w="917" w:type="dxa"/>
            <w:shd w:val="clear" w:color="auto" w:fill="auto"/>
            <w:vAlign w:val="center"/>
          </w:tcPr>
          <w:p w14:paraId="02DFE20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sz w:val="18"/>
                <w:szCs w:val="18"/>
              </w:rPr>
            </w:pPr>
            <w:r>
              <w:rPr>
                <w:rFonts w:hint="eastAsia" w:ascii="Times New Roman" w:hAnsi="Times New Roman" w:cs="Times New Roman"/>
                <w:sz w:val="18"/>
                <w:szCs w:val="18"/>
              </w:rPr>
              <w:t>短时废水量大导致工况波动</w:t>
            </w:r>
          </w:p>
        </w:tc>
      </w:tr>
    </w:tbl>
    <w:p w14:paraId="1ECE44B6">
      <w:pPr>
        <w:pStyle w:val="35"/>
        <w:ind w:firstLine="0"/>
        <w:jc w:val="center"/>
        <w:rPr>
          <w:rFonts w:cs="Times New Roman"/>
        </w:rPr>
      </w:pPr>
      <w:r>
        <w:rPr>
          <w:rFonts w:cs="Times New Roman"/>
        </w:rPr>
        <mc:AlternateContent>
          <mc:Choice Requires="wps">
            <w:drawing>
              <wp:anchor distT="0" distB="0" distL="114300" distR="114300" simplePos="0" relativeHeight="251662336" behindDoc="0" locked="0" layoutInCell="1" allowOverlap="1">
                <wp:simplePos x="0" y="0"/>
                <wp:positionH relativeFrom="column">
                  <wp:posOffset>3640455</wp:posOffset>
                </wp:positionH>
                <wp:positionV relativeFrom="paragraph">
                  <wp:posOffset>1511300</wp:posOffset>
                </wp:positionV>
                <wp:extent cx="709295" cy="241300"/>
                <wp:effectExtent l="0" t="0" r="0" b="6350"/>
                <wp:wrapNone/>
                <wp:docPr id="3" name="文本框 3"/>
                <wp:cNvGraphicFramePr/>
                <a:graphic xmlns:a="http://schemas.openxmlformats.org/drawingml/2006/main">
                  <a:graphicData uri="http://schemas.microsoft.com/office/word/2010/wordprocessingShape">
                    <wps:wsp>
                      <wps:cNvSpPr txBox="1"/>
                      <wps:spPr>
                        <a:xfrm>
                          <a:off x="0" y="0"/>
                          <a:ext cx="709067" cy="241402"/>
                        </a:xfrm>
                        <a:prstGeom prst="rect">
                          <a:avLst/>
                        </a:prstGeom>
                        <a:noFill/>
                        <a:ln w="6350">
                          <a:noFill/>
                        </a:ln>
                      </wps:spPr>
                      <wps:txbx>
                        <w:txbxContent>
                          <w:p w14:paraId="41FEC165">
                            <w:pPr>
                              <w:snapToGrid w:val="0"/>
                              <w:jc w:val="center"/>
                              <w:rPr>
                                <w:rFonts w:ascii="Times New Roman" w:hAnsi="Times New Roman" w:cs="Times New Roman"/>
                                <w:sz w:val="15"/>
                                <w:szCs w:val="15"/>
                              </w:rPr>
                            </w:pPr>
                            <w:r>
                              <w:rPr>
                                <w:rFonts w:ascii="Times New Roman" w:hAnsi="Times New Roman" w:cs="Times New Roman"/>
                                <w:sz w:val="15"/>
                                <w:szCs w:val="15"/>
                              </w:rPr>
                              <w:t>标准值50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65pt;margin-top:119pt;height:19pt;width:55.85pt;z-index:251662336;mso-width-relative:page;mso-height-relative:page;" filled="f" stroked="f" coordsize="21600,21600" o:gfxdata="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xvw9dwAAAALAQAADwAAAAAAAAABACAAAAAiAAAA&#10;ZHJzL2Rvd25yZXYueG1sUEsBAhQAFAAAAAgAh07iQIUBmVA8AgAAZQQAAA4AAAAAAAAAAQAgAAAA&#10;KwEAAGRycy9lMm9Eb2MueG1sUEsFBgAAAAAGAAYAWQEAANkFAAAAAA==&#10;">
                <v:fill on="f" focussize="0,0"/>
                <v:stroke on="f" weight="0.5pt"/>
                <v:imagedata o:title=""/>
                <o:lock v:ext="edit" aspectratio="f"/>
                <v:textbox>
                  <w:txbxContent>
                    <w:p w14:paraId="41FEC165">
                      <w:pPr>
                        <w:snapToGrid w:val="0"/>
                        <w:jc w:val="center"/>
                        <w:rPr>
                          <w:rFonts w:ascii="Times New Roman" w:hAnsi="Times New Roman" w:cs="Times New Roman"/>
                          <w:sz w:val="15"/>
                          <w:szCs w:val="15"/>
                        </w:rPr>
                      </w:pPr>
                      <w:r>
                        <w:rPr>
                          <w:rFonts w:ascii="Times New Roman" w:hAnsi="Times New Roman" w:cs="Times New Roman"/>
                          <w:sz w:val="15"/>
                          <w:szCs w:val="15"/>
                        </w:rPr>
                        <w:t>标准值50</w:t>
                      </w:r>
                    </w:p>
                  </w:txbxContent>
                </v:textbox>
              </v:shape>
            </w:pict>
          </mc:Fallback>
        </mc:AlternateContent>
      </w:r>
      <w:r>
        <w:rPr>
          <w:rFonts w:cs="Times New Roman"/>
        </w:rPr>
        <w:drawing>
          <wp:inline distT="0" distB="0" distL="114300" distR="114300">
            <wp:extent cx="3593465" cy="2331085"/>
            <wp:effectExtent l="0" t="0" r="635" b="5715"/>
            <wp:docPr id="1" name="图片 1" descr="5d64aa1c90d48c6446b0f805e9f3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d64aa1c90d48c6446b0f805e9f315a"/>
                    <pic:cNvPicPr>
                      <a:picLocks noChangeAspect="1"/>
                    </pic:cNvPicPr>
                  </pic:nvPicPr>
                  <pic:blipFill>
                    <a:blip r:embed="rId35"/>
                    <a:stretch>
                      <a:fillRect/>
                    </a:stretch>
                  </pic:blipFill>
                  <pic:spPr>
                    <a:xfrm>
                      <a:off x="0" y="0"/>
                      <a:ext cx="3593465" cy="2331085"/>
                    </a:xfrm>
                    <a:prstGeom prst="rect">
                      <a:avLst/>
                    </a:prstGeom>
                  </pic:spPr>
                </pic:pic>
              </a:graphicData>
            </a:graphic>
          </wp:inline>
        </w:drawing>
      </w:r>
    </w:p>
    <w:p w14:paraId="71693667">
      <w:pPr>
        <w:ind w:firstLine="640"/>
        <w:jc w:val="center"/>
        <w:rPr>
          <w:rFonts w:ascii="Times New Roman" w:hAnsi="Times New Roman" w:cs="Times New Roman"/>
          <w:b/>
          <w:bCs/>
        </w:rPr>
      </w:pPr>
      <w:r>
        <w:rPr>
          <w:rFonts w:ascii="Times New Roman" w:hAnsi="Times New Roman" w:cs="Times New Roman"/>
          <w:b/>
          <w:bCs/>
        </w:rPr>
        <w:t xml:space="preserve">图5-30  </w:t>
      </w:r>
      <w:r>
        <w:rPr>
          <w:rFonts w:ascii="Times New Roman" w:hAnsi="Times New Roman" w:cs="Times New Roman"/>
          <w:b/>
          <w:bCs/>
          <w:szCs w:val="32"/>
        </w:rPr>
        <w:t>焦化生产废水处理设施非甲烷总烃</w:t>
      </w:r>
      <w:r>
        <w:rPr>
          <w:rFonts w:ascii="Times New Roman" w:hAnsi="Times New Roman" w:cs="Times New Roman"/>
          <w:b/>
          <w:bCs/>
        </w:rPr>
        <w:t>周期年历史数据图</w:t>
      </w:r>
    </w:p>
    <w:p w14:paraId="54C27BEF">
      <w:pPr>
        <w:pStyle w:val="35"/>
        <w:jc w:val="both"/>
        <w:rPr>
          <w:rFonts w:cs="Times New Roman"/>
        </w:rPr>
      </w:pPr>
      <w:r>
        <w:rPr>
          <w:rFonts w:cs="Times New Roman"/>
        </w:rPr>
        <w:t>根据宝武碳业企业实际调研运行情况，至少99.70%时间段内焦化废水处理设施烟气非甲烷总烃排放浓度可控制在50mg/m</w:t>
      </w:r>
      <w:r>
        <w:rPr>
          <w:rFonts w:cs="Times New Roman"/>
          <w:vertAlign w:val="superscript"/>
        </w:rPr>
        <w:t>3</w:t>
      </w:r>
      <w:r>
        <w:rPr>
          <w:rFonts w:cs="Times New Roman"/>
        </w:rPr>
        <w:t>以内，拟定排放标准限值为50mg/m</w:t>
      </w:r>
      <w:r>
        <w:rPr>
          <w:rFonts w:cs="Times New Roman"/>
          <w:vertAlign w:val="superscript"/>
        </w:rPr>
        <w:t>3</w:t>
      </w:r>
      <w:r>
        <w:rPr>
          <w:rFonts w:cs="Times New Roman"/>
        </w:rPr>
        <w:t>可行。</w:t>
      </w:r>
    </w:p>
    <w:p w14:paraId="68F779FA">
      <w:pPr>
        <w:pStyle w:val="35"/>
        <w:jc w:val="both"/>
        <w:rPr>
          <w:rFonts w:cs="Times New Roman"/>
        </w:rPr>
      </w:pPr>
      <w:r>
        <w:rPr>
          <w:rFonts w:hint="eastAsia" w:cs="Times New Roman"/>
        </w:rPr>
        <w:t>宝钢股份正在安装焦炉烟囱非甲烷总烃在线监测设施，目前手工监测数据在4</w:t>
      </w:r>
      <w:r>
        <w:rPr>
          <w:rFonts w:cs="Times New Roman"/>
        </w:rPr>
        <w:t>0~70 mg/m</w:t>
      </w:r>
      <w:r>
        <w:rPr>
          <w:rFonts w:cs="Times New Roman"/>
          <w:vertAlign w:val="superscript"/>
        </w:rPr>
        <w:t>3</w:t>
      </w:r>
      <w:r>
        <w:rPr>
          <w:rFonts w:hint="eastAsia" w:cs="Times New Roman"/>
        </w:rPr>
        <w:t>范围。</w:t>
      </w:r>
    </w:p>
    <w:p w14:paraId="463569A8">
      <w:pPr>
        <w:pStyle w:val="35"/>
        <w:jc w:val="both"/>
        <w:rPr>
          <w:rFonts w:cs="Times New Roman"/>
        </w:rPr>
      </w:pPr>
      <w:r>
        <w:rPr>
          <w:rFonts w:cs="Times New Roman"/>
          <w:b/>
          <w:bCs/>
        </w:rPr>
        <w:t>VOCs燃烧装置大气污染物排放限值：</w:t>
      </w:r>
      <w:r>
        <w:rPr>
          <w:rFonts w:cs="Times New Roman"/>
        </w:rPr>
        <w:t>VOCs燃烧（焚烧、氧化）装置还需对排放烟气中的二氧化硫、氮氧化物进行控制，本次标准要求满足二氧化硫200mg/m</w:t>
      </w:r>
      <w:r>
        <w:rPr>
          <w:rFonts w:cs="Times New Roman"/>
          <w:vertAlign w:val="superscript"/>
        </w:rPr>
        <w:t>3</w:t>
      </w:r>
      <w:r>
        <w:rPr>
          <w:rFonts w:cs="Times New Roman"/>
        </w:rPr>
        <w:t>、氮氧化物200 mg/m</w:t>
      </w:r>
      <w:r>
        <w:rPr>
          <w:rFonts w:cs="Times New Roman"/>
          <w:vertAlign w:val="superscript"/>
        </w:rPr>
        <w:t>3</w:t>
      </w:r>
      <w:r>
        <w:rPr>
          <w:rFonts w:cs="Times New Roman"/>
        </w:rPr>
        <w:t>限值要求。</w:t>
      </w:r>
    </w:p>
    <w:p w14:paraId="453FD4E7">
      <w:pPr>
        <w:pStyle w:val="43"/>
        <w:ind w:firstLine="482"/>
        <w:rPr>
          <w:rFonts w:eastAsia="宋体" w:cs="Times New Roman"/>
        </w:rPr>
      </w:pPr>
      <w:bookmarkStart w:id="91" w:name="_Toc185781628"/>
      <w:bookmarkStart w:id="92" w:name="_Toc185779063"/>
      <w:bookmarkStart w:id="93" w:name="_Toc217058306"/>
      <w:bookmarkStart w:id="94" w:name="_Toc185784338"/>
      <w:bookmarkStart w:id="95" w:name="_Toc185778999"/>
      <w:r>
        <w:rPr>
          <w:rFonts w:eastAsia="宋体" w:cs="Times New Roman"/>
        </w:rPr>
        <w:t>5.2.5 基准氧含量的确定</w:t>
      </w:r>
      <w:bookmarkEnd w:id="91"/>
      <w:bookmarkEnd w:id="92"/>
      <w:bookmarkEnd w:id="93"/>
      <w:bookmarkEnd w:id="94"/>
      <w:bookmarkEnd w:id="95"/>
    </w:p>
    <w:p w14:paraId="2EBBD12D">
      <w:pPr>
        <w:pStyle w:val="35"/>
        <w:jc w:val="both"/>
        <w:rPr>
          <w:rFonts w:cs="Times New Roman"/>
        </w:rPr>
      </w:pPr>
      <w:r>
        <w:rPr>
          <w:rFonts w:cs="Times New Roman"/>
        </w:rPr>
        <w:t>本标准要求焦炉、烧结机、球团竖炉、链篦机-回转窑、带式焙烧机、轧钢加热炉及热处理炉</w:t>
      </w:r>
      <w:r>
        <w:rPr>
          <w:rFonts w:hint="eastAsia" w:cs="Times New Roman"/>
        </w:rPr>
        <w:t>、废酸再生、转底炉烟囱</w:t>
      </w:r>
      <w:r>
        <w:rPr>
          <w:rFonts w:cs="Times New Roman"/>
        </w:rPr>
        <w:t>等生产设施实测大气污染物排放浓度应按公式（1）折算为基准氧含量排放浓度，并以此作为达标判定依据。各生产设施基准氧含量按照表5-12规定执行，表5-11中未做规定的其他生产设施以实测排放浓度作为达标判定依据，不得稀释排放。</w:t>
      </w:r>
    </w:p>
    <w:p w14:paraId="68712EEF">
      <w:pPr>
        <w:pStyle w:val="123"/>
        <w:ind w:firstLine="199" w:firstLineChars="95"/>
        <w:jc w:val="center"/>
        <w:rPr>
          <w:rFonts w:ascii="Times New Roman"/>
        </w:rPr>
      </w:pPr>
      <m:oMath>
        <m:r>
          <m:rPr/>
          <w:rPr>
            <w:rFonts w:ascii="Cambria Math" w:hAnsi="Cambria Math"/>
            <w:szCs w:val="21"/>
          </w:rPr>
          <m:t>ρ</m:t>
        </m:r>
        <m:r>
          <m:rPr>
            <m:sty m:val="p"/>
          </m:rPr>
          <w:rPr>
            <w:rFonts w:ascii="Cambria Math" w:hAnsi="Cambria Math"/>
            <w:szCs w:val="21"/>
          </w:rPr>
          <m:t>=</m:t>
        </m:r>
        <m:sSup>
          <m:sSupPr>
            <m:ctrlPr>
              <w:rPr>
                <w:rFonts w:ascii="Cambria Math" w:hAnsi="Cambria Math"/>
                <w:szCs w:val="21"/>
              </w:rPr>
            </m:ctrlPr>
          </m:sSupPr>
          <m:e>
            <m:r>
              <m:rPr/>
              <w:rPr>
                <w:rFonts w:ascii="Cambria Math" w:hAnsi="Cambria Math"/>
                <w:szCs w:val="21"/>
              </w:rPr>
              <m:t>ρ</m:t>
            </m:r>
            <m:ctrlPr>
              <w:rPr>
                <w:rFonts w:ascii="Cambria Math" w:hAnsi="Cambria Math"/>
                <w:szCs w:val="21"/>
              </w:rPr>
            </m:ctrlPr>
          </m:e>
          <m:sup>
            <m:r>
              <m:rPr/>
              <w:rPr>
                <w:rFonts w:ascii="Cambria Math" w:hAnsi="Cambria Math"/>
                <w:szCs w:val="21"/>
              </w:rPr>
              <m:t>’</m:t>
            </m:r>
            <m:ctrlPr>
              <w:rPr>
                <w:rFonts w:ascii="Cambria Math" w:hAnsi="Cambria Math"/>
                <w:szCs w:val="21"/>
              </w:rPr>
            </m:ctrlPr>
          </m:sup>
        </m:sSup>
        <m:r>
          <m:rPr/>
          <w:rPr>
            <w:rFonts w:ascii="Cambria Math" w:hAnsi="Cambria Math"/>
            <w:szCs w:val="21"/>
          </w:rPr>
          <m:t>×</m:t>
        </m:r>
        <m:f>
          <m:fPr>
            <m:ctrlPr>
              <w:rPr>
                <w:rFonts w:ascii="Cambria Math" w:hAnsi="Cambria Math"/>
                <w:i/>
                <w:szCs w:val="21"/>
              </w:rPr>
            </m:ctrlPr>
          </m:fPr>
          <m:num>
            <m:r>
              <m:rPr/>
              <w:rPr>
                <w:rFonts w:ascii="Cambria Math" w:hAnsi="Cambria Math"/>
                <w:szCs w:val="21"/>
              </w:rPr>
              <m:t>21−</m:t>
            </m:r>
            <m:sSub>
              <m:sSubPr>
                <m:ctrlPr>
                  <w:rPr>
                    <w:rFonts w:ascii="Cambria Math" w:hAnsi="Cambria Math"/>
                    <w:i/>
                    <w:szCs w:val="21"/>
                  </w:rPr>
                </m:ctrlPr>
              </m:sSubPr>
              <m:e>
                <m:r>
                  <m:rPr/>
                  <w:rPr>
                    <w:rFonts w:ascii="Cambria Math" w:hAnsi="Cambria Math"/>
                    <w:szCs w:val="21"/>
                  </w:rPr>
                  <m:t>O</m:t>
                </m:r>
                <m:ctrlPr>
                  <w:rPr>
                    <w:rFonts w:ascii="Cambria Math" w:hAnsi="Cambria Math"/>
                    <w:i/>
                    <w:szCs w:val="21"/>
                  </w:rPr>
                </m:ctrlPr>
              </m:e>
              <m:sub>
                <m:r>
                  <m:rPr/>
                  <w:rPr>
                    <w:rFonts w:ascii="Cambria Math" w:hAnsi="Cambria Math"/>
                    <w:szCs w:val="21"/>
                  </w:rPr>
                  <m:t>2</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21−</m:t>
            </m:r>
            <m:sSubSup>
              <m:sSubSupPr>
                <m:ctrlPr>
                  <w:rPr>
                    <w:rFonts w:ascii="Cambria Math" w:hAnsi="Cambria Math"/>
                    <w:i/>
                    <w:szCs w:val="21"/>
                  </w:rPr>
                </m:ctrlPr>
              </m:sSubSupPr>
              <m:e>
                <m:r>
                  <m:rPr/>
                  <w:rPr>
                    <w:rFonts w:ascii="Cambria Math" w:hAnsi="Cambria Math"/>
                    <w:szCs w:val="21"/>
                  </w:rPr>
                  <m:t>O</m:t>
                </m:r>
                <m:ctrlPr>
                  <w:rPr>
                    <w:rFonts w:ascii="Cambria Math" w:hAnsi="Cambria Math"/>
                    <w:i/>
                    <w:szCs w:val="21"/>
                  </w:rPr>
                </m:ctrlPr>
              </m:e>
              <m:sub>
                <m:r>
                  <m:rPr/>
                  <w:rPr>
                    <w:rFonts w:ascii="Cambria Math" w:hAnsi="Cambria Math"/>
                    <w:szCs w:val="21"/>
                  </w:rPr>
                  <m:t>2</m:t>
                </m:r>
                <m:ctrlPr>
                  <w:rPr>
                    <w:rFonts w:ascii="Cambria Math" w:hAnsi="Cambria Math"/>
                    <w:i/>
                    <w:szCs w:val="21"/>
                  </w:rPr>
                </m:ctrlPr>
              </m:sub>
              <m:sup>
                <m:r>
                  <m:rPr/>
                  <w:rPr>
                    <w:rFonts w:ascii="Cambria Math" w:hAnsi="Cambria Math"/>
                    <w:szCs w:val="21"/>
                  </w:rPr>
                  <m:t>’</m:t>
                </m:r>
                <m:ctrlPr>
                  <w:rPr>
                    <w:rFonts w:ascii="Cambria Math" w:hAnsi="Cambria Math"/>
                    <w:i/>
                    <w:szCs w:val="21"/>
                  </w:rPr>
                </m:ctrlPr>
              </m:sup>
            </m:sSubSup>
            <m:ctrlPr>
              <w:rPr>
                <w:rFonts w:ascii="Cambria Math" w:hAnsi="Cambria Math"/>
                <w:i/>
                <w:szCs w:val="21"/>
              </w:rPr>
            </m:ctrlPr>
          </m:den>
        </m:f>
      </m:oMath>
      <w:bookmarkStart w:id="96" w:name="_Hlk61345214"/>
      <w:bookmarkStart w:id="97" w:name="_Hlk61342457"/>
      <w:r>
        <w:rPr>
          <w:rFonts w:ascii="Times New Roman"/>
          <w:szCs w:val="22"/>
        </w:rPr>
        <w:t xml:space="preserve">  ………………………</w:t>
      </w:r>
      <w:bookmarkEnd w:id="96"/>
      <w:bookmarkEnd w:id="97"/>
      <w:r>
        <w:rPr>
          <w:rFonts w:ascii="Times New Roman"/>
        </w:rPr>
        <w:t>（1）</w:t>
      </w:r>
    </w:p>
    <w:p w14:paraId="340F2A4C">
      <w:pPr>
        <w:pStyle w:val="123"/>
        <w:ind w:firstLine="420"/>
        <w:jc w:val="left"/>
        <w:rPr>
          <w:rFonts w:ascii="Times New Roman"/>
        </w:rPr>
      </w:pPr>
      <w:r>
        <w:rPr>
          <w:rFonts w:ascii="Times New Roman"/>
        </w:rPr>
        <w:t>式中：</w:t>
      </w:r>
    </w:p>
    <w:p w14:paraId="4DCEC507">
      <w:pPr>
        <w:pStyle w:val="123"/>
        <w:ind w:firstLine="420"/>
        <w:jc w:val="left"/>
        <w:rPr>
          <w:rFonts w:ascii="Times New Roman"/>
        </w:rPr>
      </w:pPr>
      <w:r>
        <w:rPr>
          <w:rFonts w:ascii="Times New Roman"/>
          <w:i/>
          <w:szCs w:val="21"/>
        </w:rPr>
        <w:t xml:space="preserve">ρ </w:t>
      </w:r>
      <w:r>
        <w:rPr>
          <w:rFonts w:ascii="Times New Roman"/>
        </w:rPr>
        <w:t xml:space="preserve"> — 大气污染物基准氧含量排放浓度，mg/m</w:t>
      </w:r>
      <w:r>
        <w:rPr>
          <w:rFonts w:ascii="Times New Roman"/>
          <w:vertAlign w:val="superscript"/>
        </w:rPr>
        <w:t>3</w:t>
      </w:r>
      <w:r>
        <w:rPr>
          <w:rFonts w:ascii="Times New Roman"/>
        </w:rPr>
        <w:t>；</w:t>
      </w:r>
    </w:p>
    <w:p w14:paraId="155EB96D">
      <w:pPr>
        <w:pStyle w:val="123"/>
        <w:ind w:firstLine="420"/>
        <w:jc w:val="left"/>
        <w:rPr>
          <w:rFonts w:ascii="Times New Roman"/>
        </w:rPr>
      </w:pPr>
      <w:r>
        <w:rPr>
          <w:rFonts w:ascii="Times New Roman"/>
          <w:i/>
          <w:szCs w:val="21"/>
        </w:rPr>
        <w:t xml:space="preserve">ρ’  </w:t>
      </w:r>
      <w:r>
        <w:rPr>
          <w:rFonts w:ascii="Times New Roman"/>
        </w:rPr>
        <w:t>— 实测的大气污染物排放浓度，mg/m</w:t>
      </w:r>
      <w:r>
        <w:rPr>
          <w:rFonts w:ascii="Times New Roman"/>
          <w:vertAlign w:val="superscript"/>
        </w:rPr>
        <w:t>3</w:t>
      </w:r>
      <w:r>
        <w:rPr>
          <w:rFonts w:ascii="Times New Roman"/>
        </w:rPr>
        <w:t>；</w:t>
      </w:r>
    </w:p>
    <w:p w14:paraId="7299C9A8">
      <w:pPr>
        <w:pStyle w:val="123"/>
        <w:ind w:firstLine="420"/>
        <w:jc w:val="left"/>
        <w:rPr>
          <w:rFonts w:ascii="Times New Roman"/>
        </w:rPr>
      </w:pPr>
      <w:r>
        <w:rPr>
          <w:rFonts w:ascii="Times New Roman"/>
          <w:i/>
          <w:szCs w:val="21"/>
        </w:rPr>
        <w:t>O</w:t>
      </w:r>
      <w:r>
        <w:rPr>
          <w:rFonts w:ascii="Times New Roman"/>
          <w:i/>
          <w:szCs w:val="21"/>
          <w:vertAlign w:val="subscript"/>
        </w:rPr>
        <w:t xml:space="preserve">2  </w:t>
      </w:r>
      <w:r>
        <w:rPr>
          <w:rFonts w:ascii="Times New Roman"/>
        </w:rPr>
        <w:t>— 规定的基准氧含量，单位为%；</w:t>
      </w:r>
    </w:p>
    <w:p w14:paraId="626D46FE">
      <w:pPr>
        <w:pStyle w:val="123"/>
        <w:ind w:firstLine="420"/>
        <w:jc w:val="left"/>
        <w:rPr>
          <w:rFonts w:ascii="Times New Roman"/>
        </w:rPr>
      </w:pPr>
      <w:r>
        <w:rPr>
          <w:rFonts w:ascii="Times New Roman"/>
          <w:i/>
          <w:szCs w:val="21"/>
        </w:rPr>
        <w:t>O</w:t>
      </w:r>
      <w:r>
        <w:rPr>
          <w:rFonts w:ascii="Times New Roman"/>
          <w:i/>
          <w:szCs w:val="21"/>
          <w:vertAlign w:val="subscript"/>
        </w:rPr>
        <w:t>2</w:t>
      </w:r>
      <w:r>
        <w:rPr>
          <w:rFonts w:ascii="Times New Roman"/>
          <w:i/>
          <w:szCs w:val="21"/>
        </w:rPr>
        <w:t xml:space="preserve">’  </w:t>
      </w:r>
      <w:r>
        <w:rPr>
          <w:rFonts w:ascii="Times New Roman"/>
        </w:rPr>
        <w:t>— 实测的氧含量，单位为%。</w:t>
      </w:r>
    </w:p>
    <w:p w14:paraId="3E0EA24D">
      <w:pPr>
        <w:spacing w:line="235" w:lineRule="auto"/>
        <w:jc w:val="center"/>
        <w:rPr>
          <w:rFonts w:ascii="Times New Roman" w:hAnsi="Times New Roman" w:cs="Times New Roman"/>
          <w:b/>
          <w:bCs/>
          <w:szCs w:val="32"/>
        </w:rPr>
      </w:pPr>
      <w:r>
        <w:rPr>
          <w:rFonts w:ascii="Times New Roman" w:hAnsi="Times New Roman" w:cs="Times New Roman"/>
          <w:b/>
          <w:bCs/>
          <w:szCs w:val="32"/>
        </w:rPr>
        <w:t>表5-12  基准氧含量</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3878"/>
        <w:gridCol w:w="3102"/>
      </w:tblGrid>
      <w:tr w14:paraId="4D79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5" w:type="pct"/>
            <w:vAlign w:val="center"/>
          </w:tcPr>
          <w:p w14:paraId="42F3F154">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序号</w:t>
            </w:r>
          </w:p>
        </w:tc>
        <w:tc>
          <w:tcPr>
            <w:tcW w:w="2275" w:type="pct"/>
            <w:vAlign w:val="center"/>
          </w:tcPr>
          <w:p w14:paraId="021CC82D">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生产工艺或生产设施</w:t>
            </w:r>
          </w:p>
        </w:tc>
        <w:tc>
          <w:tcPr>
            <w:tcW w:w="1820" w:type="pct"/>
            <w:vAlign w:val="center"/>
          </w:tcPr>
          <w:p w14:paraId="39D9CB44">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基准氧含量，%</w:t>
            </w:r>
          </w:p>
        </w:tc>
      </w:tr>
      <w:tr w14:paraId="67A7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5" w:type="pct"/>
            <w:vAlign w:val="center"/>
          </w:tcPr>
          <w:p w14:paraId="09F4593F">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1</w:t>
            </w:r>
          </w:p>
        </w:tc>
        <w:tc>
          <w:tcPr>
            <w:tcW w:w="2275" w:type="pct"/>
            <w:vAlign w:val="center"/>
          </w:tcPr>
          <w:p w14:paraId="3E0D17E7">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焦炉烟囱</w:t>
            </w:r>
          </w:p>
        </w:tc>
        <w:tc>
          <w:tcPr>
            <w:tcW w:w="1820" w:type="pct"/>
            <w:vAlign w:val="center"/>
          </w:tcPr>
          <w:p w14:paraId="6FA5A8F4">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8</w:t>
            </w:r>
          </w:p>
        </w:tc>
      </w:tr>
      <w:tr w14:paraId="3CEE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5" w:type="pct"/>
            <w:vAlign w:val="center"/>
          </w:tcPr>
          <w:p w14:paraId="5C0EA73E">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2</w:t>
            </w:r>
          </w:p>
        </w:tc>
        <w:tc>
          <w:tcPr>
            <w:tcW w:w="2275" w:type="pct"/>
            <w:vAlign w:val="center"/>
          </w:tcPr>
          <w:p w14:paraId="7144DB2D">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烧结机头、</w:t>
            </w:r>
            <w:bookmarkStart w:id="98" w:name="OLE_LINK2"/>
            <w:bookmarkStart w:id="99" w:name="OLE_LINK4"/>
            <w:r>
              <w:rPr>
                <w:rFonts w:hint="eastAsia" w:ascii="Times New Roman" w:hAnsi="Times New Roman"/>
                <w:sz w:val="18"/>
                <w:szCs w:val="18"/>
              </w:rPr>
              <w:t>球团竖炉</w:t>
            </w:r>
            <w:bookmarkEnd w:id="98"/>
            <w:bookmarkEnd w:id="99"/>
          </w:p>
        </w:tc>
        <w:tc>
          <w:tcPr>
            <w:tcW w:w="1820" w:type="pct"/>
            <w:vAlign w:val="center"/>
          </w:tcPr>
          <w:p w14:paraId="4165B444">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16</w:t>
            </w:r>
          </w:p>
        </w:tc>
      </w:tr>
      <w:tr w14:paraId="0919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5" w:type="pct"/>
            <w:vAlign w:val="center"/>
          </w:tcPr>
          <w:p w14:paraId="4F211AE5">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3</w:t>
            </w:r>
          </w:p>
        </w:tc>
        <w:tc>
          <w:tcPr>
            <w:tcW w:w="2275" w:type="pct"/>
            <w:vAlign w:val="center"/>
          </w:tcPr>
          <w:p w14:paraId="532AB74D">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bookmarkStart w:id="100" w:name="OLE_LINK32"/>
            <w:bookmarkStart w:id="101" w:name="OLE_LINK33"/>
            <w:r>
              <w:rPr>
                <w:rFonts w:hint="eastAsia" w:ascii="Times New Roman" w:hAnsi="Times New Roman"/>
                <w:sz w:val="18"/>
                <w:szCs w:val="18"/>
              </w:rPr>
              <w:t>链篦机回转窑、带式球团焙烧机机头</w:t>
            </w:r>
            <w:bookmarkEnd w:id="100"/>
            <w:bookmarkEnd w:id="101"/>
          </w:p>
        </w:tc>
        <w:tc>
          <w:tcPr>
            <w:tcW w:w="1820" w:type="pct"/>
            <w:vAlign w:val="center"/>
          </w:tcPr>
          <w:p w14:paraId="3CF2C870">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18</w:t>
            </w:r>
          </w:p>
        </w:tc>
      </w:tr>
      <w:tr w14:paraId="192F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5" w:type="pct"/>
            <w:vAlign w:val="center"/>
          </w:tcPr>
          <w:p w14:paraId="042A6E43">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4</w:t>
            </w:r>
          </w:p>
        </w:tc>
        <w:tc>
          <w:tcPr>
            <w:tcW w:w="2275" w:type="pct"/>
            <w:vAlign w:val="center"/>
          </w:tcPr>
          <w:p w14:paraId="080E58CC">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轧钢加热炉</w:t>
            </w:r>
          </w:p>
        </w:tc>
        <w:tc>
          <w:tcPr>
            <w:tcW w:w="1820" w:type="pct"/>
            <w:vAlign w:val="center"/>
          </w:tcPr>
          <w:p w14:paraId="71C1A547">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8</w:t>
            </w:r>
          </w:p>
        </w:tc>
      </w:tr>
      <w:tr w14:paraId="68CF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5" w:type="pct"/>
            <w:vAlign w:val="center"/>
          </w:tcPr>
          <w:p w14:paraId="3F4092D8">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5</w:t>
            </w:r>
          </w:p>
        </w:tc>
        <w:tc>
          <w:tcPr>
            <w:tcW w:w="2275" w:type="pct"/>
            <w:vAlign w:val="center"/>
          </w:tcPr>
          <w:p w14:paraId="43C2C0A9">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轧钢其他热处理炉</w:t>
            </w:r>
          </w:p>
        </w:tc>
        <w:tc>
          <w:tcPr>
            <w:tcW w:w="1820" w:type="pct"/>
            <w:vAlign w:val="center"/>
          </w:tcPr>
          <w:p w14:paraId="5E755FEF">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15</w:t>
            </w:r>
          </w:p>
        </w:tc>
      </w:tr>
      <w:tr w14:paraId="6E8A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5" w:type="pct"/>
            <w:vAlign w:val="center"/>
          </w:tcPr>
          <w:p w14:paraId="5CADF0EE">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6</w:t>
            </w:r>
          </w:p>
        </w:tc>
        <w:tc>
          <w:tcPr>
            <w:tcW w:w="2275" w:type="pct"/>
            <w:vAlign w:val="center"/>
          </w:tcPr>
          <w:p w14:paraId="5F59E52E">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废酸再生</w:t>
            </w:r>
          </w:p>
        </w:tc>
        <w:tc>
          <w:tcPr>
            <w:tcW w:w="1820" w:type="pct"/>
            <w:vAlign w:val="center"/>
          </w:tcPr>
          <w:p w14:paraId="42549CFB">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9</w:t>
            </w:r>
          </w:p>
        </w:tc>
      </w:tr>
      <w:tr w14:paraId="7952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5" w:type="pct"/>
            <w:vAlign w:val="center"/>
          </w:tcPr>
          <w:p w14:paraId="68CA63FB">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7</w:t>
            </w:r>
          </w:p>
        </w:tc>
        <w:tc>
          <w:tcPr>
            <w:tcW w:w="2275" w:type="pct"/>
            <w:vAlign w:val="center"/>
          </w:tcPr>
          <w:p w14:paraId="391F2928">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转底炉烟囱</w:t>
            </w:r>
          </w:p>
        </w:tc>
        <w:tc>
          <w:tcPr>
            <w:tcW w:w="1820" w:type="pct"/>
            <w:vAlign w:val="center"/>
          </w:tcPr>
          <w:p w14:paraId="4556359B">
            <w:pPr>
              <w:keepNext w:val="0"/>
              <w:keepLines w:val="0"/>
              <w:widowControl/>
              <w:suppressLineNumbers w:val="0"/>
              <w:spacing w:before="0" w:beforeAutospacing="0" w:after="0" w:afterAutospacing="0" w:line="240" w:lineRule="exact"/>
              <w:ind w:left="0" w:right="0"/>
              <w:jc w:val="center"/>
              <w:rPr>
                <w:rFonts w:hint="eastAsia" w:ascii="Times New Roman" w:hAnsi="Times New Roman"/>
                <w:sz w:val="18"/>
                <w:szCs w:val="18"/>
              </w:rPr>
            </w:pPr>
            <w:r>
              <w:rPr>
                <w:rFonts w:hint="eastAsia" w:ascii="Times New Roman" w:hAnsi="Times New Roman"/>
                <w:sz w:val="18"/>
                <w:szCs w:val="18"/>
              </w:rPr>
              <w:t>16</w:t>
            </w:r>
          </w:p>
        </w:tc>
      </w:tr>
    </w:tbl>
    <w:p w14:paraId="048EDE07">
      <w:pPr>
        <w:spacing w:line="235" w:lineRule="auto"/>
        <w:jc w:val="center"/>
        <w:rPr>
          <w:rFonts w:ascii="Times New Roman" w:hAnsi="Times New Roman" w:cs="Times New Roman"/>
          <w:b/>
          <w:bCs/>
          <w:szCs w:val="32"/>
        </w:rPr>
      </w:pPr>
    </w:p>
    <w:p w14:paraId="311F5561">
      <w:pPr>
        <w:pStyle w:val="35"/>
        <w:ind w:firstLine="480"/>
        <w:jc w:val="both"/>
        <w:rPr>
          <w:rFonts w:cs="Times New Roman"/>
        </w:rPr>
      </w:pPr>
      <w:r>
        <w:rPr>
          <w:rFonts w:cs="Times New Roman"/>
        </w:rPr>
        <w:t>其中，焦炉、烧结机、球团竖炉、链篦机-回转窑、带式焙烧机、轧钢加热炉及热处理炉等生产设施与现行国标及修改单基准氧含量要求一致，</w:t>
      </w:r>
      <w:r>
        <w:rPr>
          <w:rFonts w:hint="eastAsia" w:cs="Times New Roman"/>
        </w:rPr>
        <w:t>废酸再生与上海市工业炉窑标准保持一致，转底炉烟囱根据历史监测数据确定</w:t>
      </w:r>
      <w:r>
        <w:rPr>
          <w:rFonts w:cs="Times New Roman"/>
        </w:rPr>
        <w:t>。</w:t>
      </w:r>
    </w:p>
    <w:p w14:paraId="13E87BD5">
      <w:pPr>
        <w:pStyle w:val="37"/>
        <w:spacing w:before="156"/>
        <w:ind w:left="0"/>
        <w:jc w:val="both"/>
      </w:pPr>
      <w:bookmarkStart w:id="102" w:name="_Toc217058307"/>
      <w:r>
        <w:t>5.3无组织排放控制要求的确定</w:t>
      </w:r>
      <w:bookmarkEnd w:id="102"/>
    </w:p>
    <w:p w14:paraId="067A8144">
      <w:pPr>
        <w:pStyle w:val="43"/>
        <w:ind w:firstLine="482"/>
        <w:jc w:val="both"/>
        <w:rPr>
          <w:rFonts w:eastAsia="宋体" w:cs="Times New Roman"/>
        </w:rPr>
      </w:pPr>
      <w:bookmarkStart w:id="103" w:name="_Toc217058308"/>
      <w:r>
        <w:rPr>
          <w:rFonts w:eastAsia="宋体" w:cs="Times New Roman"/>
        </w:rPr>
        <w:t>5.3.1 无组织排放</w:t>
      </w:r>
      <w:r>
        <w:rPr>
          <w:rFonts w:hint="eastAsia" w:eastAsia="宋体" w:cs="Times New Roman"/>
        </w:rPr>
        <w:t>控制措施</w:t>
      </w:r>
      <w:bookmarkEnd w:id="103"/>
    </w:p>
    <w:p w14:paraId="1AA6ED00">
      <w:pPr>
        <w:pStyle w:val="35"/>
        <w:widowControl w:val="0"/>
        <w:jc w:val="both"/>
        <w:rPr>
          <w:rFonts w:cs="Times New Roman"/>
        </w:rPr>
      </w:pPr>
      <w:r>
        <w:rPr>
          <w:rFonts w:cs="Times New Roman"/>
        </w:rPr>
        <w:t>本标准中对于企业无组织排放管控措施的要求参照《</w:t>
      </w:r>
      <w:r>
        <w:rPr>
          <w:rFonts w:hint="eastAsia" w:cs="Times New Roman"/>
        </w:rPr>
        <w:t>超低</w:t>
      </w:r>
      <w:r>
        <w:rPr>
          <w:rFonts w:cs="Times New Roman"/>
        </w:rPr>
        <w:t>意见》</w:t>
      </w:r>
      <w:r>
        <w:rPr>
          <w:rFonts w:hint="eastAsia" w:cs="Times New Roman"/>
        </w:rPr>
        <w:t>、《炼焦化学工业大气污染物排放标准》（</w:t>
      </w:r>
      <w:r>
        <w:rPr>
          <w:rFonts w:cs="Times New Roman"/>
        </w:rPr>
        <w:t>GB 16171.1-2024）以及河北、山东、河南、山西等地标内容综合确定。主要分物料储存与输送、</w:t>
      </w:r>
      <w:r>
        <w:rPr>
          <w:rFonts w:hint="eastAsia" w:cs="Times New Roman"/>
        </w:rPr>
        <w:t>各</w:t>
      </w:r>
      <w:r>
        <w:rPr>
          <w:rFonts w:cs="Times New Roman"/>
        </w:rPr>
        <w:t>生产</w:t>
      </w:r>
      <w:r>
        <w:rPr>
          <w:rFonts w:hint="eastAsia" w:cs="Times New Roman"/>
        </w:rPr>
        <w:t>工序</w:t>
      </w:r>
      <w:r>
        <w:rPr>
          <w:rFonts w:cs="Times New Roman"/>
        </w:rPr>
        <w:t>、</w:t>
      </w:r>
      <w:r>
        <w:rPr>
          <w:rFonts w:hint="eastAsia" w:cs="Times New Roman"/>
        </w:rPr>
        <w:t>挥发性有机物共八个</w:t>
      </w:r>
      <w:r>
        <w:rPr>
          <w:rFonts w:cs="Times New Roman"/>
        </w:rPr>
        <w:t>部分给出。</w:t>
      </w:r>
    </w:p>
    <w:p w14:paraId="79C28126">
      <w:pPr>
        <w:spacing w:line="360" w:lineRule="auto"/>
        <w:ind w:firstLine="482" w:firstLineChars="200"/>
        <w:rPr>
          <w:rFonts w:ascii="Times New Roman" w:hAnsi="Times New Roman" w:cs="Times New Roman"/>
          <w:b/>
        </w:rPr>
      </w:pPr>
      <w:bookmarkStart w:id="104" w:name="_Toc185784340"/>
      <w:bookmarkStart w:id="105" w:name="_Toc185781630"/>
      <w:bookmarkStart w:id="106" w:name="_Toc185779001"/>
      <w:bookmarkStart w:id="107" w:name="_Toc185779065"/>
      <w:r>
        <w:rPr>
          <w:rFonts w:ascii="Times New Roman" w:hAnsi="Times New Roman" w:cs="Times New Roman"/>
          <w:b/>
        </w:rPr>
        <w:t>5.3.1.1物料储存与输送</w:t>
      </w:r>
      <w:bookmarkEnd w:id="104"/>
      <w:bookmarkEnd w:id="105"/>
      <w:bookmarkEnd w:id="106"/>
      <w:bookmarkEnd w:id="107"/>
    </w:p>
    <w:p w14:paraId="4575AD55">
      <w:pPr>
        <w:pStyle w:val="35"/>
        <w:widowControl w:val="0"/>
        <w:jc w:val="both"/>
        <w:rPr>
          <w:rFonts w:cs="Times New Roman"/>
        </w:rPr>
      </w:pPr>
      <w:bookmarkStart w:id="108" w:name="_Toc185781631"/>
      <w:bookmarkStart w:id="109" w:name="_Toc185779002"/>
      <w:bookmarkStart w:id="110" w:name="_Toc185779066"/>
      <w:bookmarkStart w:id="111" w:name="_Toc185784341"/>
      <w:r>
        <w:rPr>
          <w:rFonts w:hint="eastAsia" w:cs="Times New Roman"/>
        </w:rPr>
        <w:t>（1）</w:t>
      </w:r>
      <w:r>
        <w:rPr>
          <w:rFonts w:cs="Times New Roman"/>
        </w:rPr>
        <w:t>石灰、除尘灰、脱硫灰、粉煤灰等粉状物料，应采用料仓、储罐等方式密闭储存。铁精矿、煤、焦炭、烧结矿、球团矿、铁合金、钢渣、脱硫石膏等块状或粘湿物料，应采用密闭料仓或封闭料场（仓、库、棚）等方式储存，其中封闭料场内采取抑尘措施。其他干渣堆存应采用喷淋(雾)等抑尘措施。</w:t>
      </w:r>
    </w:p>
    <w:p w14:paraId="025FE7A3">
      <w:pPr>
        <w:pStyle w:val="35"/>
        <w:widowControl w:val="0"/>
        <w:jc w:val="both"/>
        <w:rPr>
          <w:rFonts w:cs="Times New Roman"/>
        </w:rPr>
      </w:pPr>
      <w:r>
        <w:rPr>
          <w:rFonts w:hint="eastAsia" w:cs="Times New Roman"/>
        </w:rPr>
        <w:t>（</w:t>
      </w:r>
      <w:r>
        <w:rPr>
          <w:rFonts w:cs="Times New Roman"/>
        </w:rPr>
        <w:t>2</w:t>
      </w:r>
      <w:r>
        <w:rPr>
          <w:rFonts w:hint="eastAsia" w:cs="Times New Roman"/>
        </w:rPr>
        <w:t>）</w:t>
      </w:r>
      <w:r>
        <w:rPr>
          <w:rFonts w:cs="Times New Roman"/>
        </w:rPr>
        <w:t>石灰、除尘灰、脱硫灰、粉煤灰等粉状物料，应采用管状带式输送机、气力输送设备、罐车等方式密闭输送。铁精矿、煤、焦炭、烧结矿、球团矿、铁合金、高炉渣、钢渣、脱硫石膏等块状或粘湿物料，应采用管状带式输送机等方式密闭输送，或采用皮带通廊等方式封闭输送；确需汽车运输的，应使用封闭车厢或苫盖严密，装卸车时应采取除尘或加湿等抑尘措施。物料输送落料点等应配备集气罩和除尘设施，或采取喷雾等抑尘措施。</w:t>
      </w:r>
    </w:p>
    <w:p w14:paraId="30E46C4B">
      <w:pPr>
        <w:pStyle w:val="35"/>
        <w:widowControl w:val="0"/>
        <w:jc w:val="both"/>
        <w:rPr>
          <w:rFonts w:cs="Times New Roman"/>
        </w:rPr>
      </w:pPr>
      <w:r>
        <w:rPr>
          <w:rFonts w:hint="eastAsia" w:cs="Times New Roman"/>
        </w:rPr>
        <w:t>（</w:t>
      </w:r>
      <w:r>
        <w:rPr>
          <w:rFonts w:cs="Times New Roman"/>
        </w:rPr>
        <w:t>3</w:t>
      </w:r>
      <w:r>
        <w:rPr>
          <w:rFonts w:hint="eastAsia" w:cs="Times New Roman"/>
        </w:rPr>
        <w:t>）</w:t>
      </w:r>
      <w:r>
        <w:rPr>
          <w:rFonts w:cs="Times New Roman"/>
        </w:rPr>
        <w:t>料场进出口路面硬化，出口设置车轮和车身高压清洗设施。厂区道路应硬化，路面采取清扫、酒水等措施，保持清洁。</w:t>
      </w:r>
    </w:p>
    <w:p w14:paraId="60F07A7F">
      <w:pPr>
        <w:pStyle w:val="35"/>
        <w:widowControl w:val="0"/>
        <w:jc w:val="both"/>
        <w:rPr>
          <w:rFonts w:cs="Times New Roman"/>
        </w:rPr>
      </w:pPr>
      <w:r>
        <w:rPr>
          <w:rFonts w:hint="eastAsia" w:cs="Times New Roman"/>
        </w:rPr>
        <w:t>（</w:t>
      </w:r>
      <w:r>
        <w:rPr>
          <w:rFonts w:cs="Times New Roman"/>
        </w:rPr>
        <w:t>4</w:t>
      </w:r>
      <w:r>
        <w:rPr>
          <w:rFonts w:hint="eastAsia" w:cs="Times New Roman"/>
        </w:rPr>
        <w:t>）</w:t>
      </w:r>
      <w:r>
        <w:rPr>
          <w:rFonts w:cs="Times New Roman"/>
        </w:rPr>
        <w:t>厂内含挥发性有机物（VOCs）物料密闭存储，调配、使用、回收等过程采用密闭设备或在密闭空间内操作，采用密闭管道或密闭容器等输送。</w:t>
      </w:r>
    </w:p>
    <w:p w14:paraId="318B9D91">
      <w:pPr>
        <w:pStyle w:val="35"/>
        <w:widowControl w:val="0"/>
        <w:jc w:val="both"/>
        <w:rPr>
          <w:rFonts w:cs="Times New Roman"/>
        </w:rPr>
      </w:pPr>
      <w:r>
        <w:rPr>
          <w:rFonts w:hint="eastAsia" w:cs="Times New Roman"/>
        </w:rPr>
        <w:t>（</w:t>
      </w:r>
      <w:r>
        <w:rPr>
          <w:rFonts w:cs="Times New Roman"/>
        </w:rPr>
        <w:t>5</w:t>
      </w:r>
      <w:r>
        <w:rPr>
          <w:rFonts w:hint="eastAsia" w:cs="Times New Roman"/>
        </w:rPr>
        <w:t>）</w:t>
      </w:r>
      <w:r>
        <w:rPr>
          <w:rFonts w:cs="Times New Roman"/>
        </w:rPr>
        <w:t>氨的装卸、贮存、输送、制备等过程应密闭，并采取氨气泄漏检测措施。</w:t>
      </w:r>
    </w:p>
    <w:p w14:paraId="6588F684">
      <w:pPr>
        <w:pStyle w:val="35"/>
        <w:widowControl w:val="0"/>
        <w:jc w:val="both"/>
        <w:rPr>
          <w:rFonts w:cs="Times New Roman"/>
        </w:rPr>
      </w:pPr>
      <w:r>
        <w:rPr>
          <w:rFonts w:hint="eastAsia" w:cs="Times New Roman"/>
        </w:rPr>
        <w:t>（</w:t>
      </w:r>
      <w:r>
        <w:rPr>
          <w:rFonts w:cs="Times New Roman"/>
        </w:rPr>
        <w:t>6</w:t>
      </w:r>
      <w:r>
        <w:rPr>
          <w:rFonts w:hint="eastAsia" w:cs="Times New Roman"/>
        </w:rPr>
        <w:t>）</w:t>
      </w:r>
      <w:r>
        <w:rPr>
          <w:rFonts w:cs="Times New Roman"/>
        </w:rPr>
        <w:t>进出钢铁、焦化企业的所有大宗物料（包括铁精矿、煤炭、焦炭、废钢以及外购烧结矿、外购球团矿、石灰、铁合金、钢渣、水渣等）和产品（包括钢材、外售中间产品等）采用铁路、水路、管道或管状带式输送机等清洁方式运输比例不低于80%；达不到的，汽车运输部分全部采用新能源汽车或达到国六排放标准（GB17691和GB18352.6）的汽车。危化品运输等特种车辆可采用国五及以上排放标准车辆（燃气车辆达到国六排放标准）。移动源监管按HJ1321的规定执行。</w:t>
      </w:r>
    </w:p>
    <w:p w14:paraId="51062FBD">
      <w:pPr>
        <w:pStyle w:val="35"/>
        <w:widowControl w:val="0"/>
        <w:jc w:val="both"/>
        <w:rPr>
          <w:rFonts w:cs="Times New Roman"/>
        </w:rPr>
      </w:pPr>
      <w:r>
        <w:rPr>
          <w:rFonts w:cs="Times New Roman"/>
          <w:b/>
        </w:rPr>
        <w:t>5.3.1.2</w:t>
      </w:r>
      <w:r>
        <w:rPr>
          <w:rFonts w:cs="Times New Roman"/>
        </w:rPr>
        <w:t xml:space="preserve">  烧结、球团、炼铁、焦化等工序的物料破碎、筛分、混合等设备应设置密闭罩，并配备除尘设施。焦炉，烧结机、烧结矿环冷机、球团焙烧设备，高炉炉顶上料、矿槽、高炉出铁场，混铁炉、炼钢铁水预处理、转炉、电炉、精炼炉、炼钢车间等产尘点应全面加强集气能力建设，确保无可见烟粉尘外逸。</w:t>
      </w:r>
    </w:p>
    <w:p w14:paraId="4A2AC922">
      <w:pPr>
        <w:spacing w:line="360" w:lineRule="auto"/>
        <w:ind w:firstLine="482" w:firstLineChars="200"/>
        <w:rPr>
          <w:rFonts w:ascii="Times New Roman" w:hAnsi="Times New Roman" w:cs="Times New Roman"/>
          <w:b/>
        </w:rPr>
      </w:pPr>
      <w:r>
        <w:rPr>
          <w:rFonts w:ascii="Times New Roman" w:hAnsi="Times New Roman" w:cs="Times New Roman"/>
          <w:b/>
        </w:rPr>
        <w:t>5.3.1.3  烧结及球团焙烧</w:t>
      </w:r>
    </w:p>
    <w:p w14:paraId="267DBB0A">
      <w:pPr>
        <w:pStyle w:val="35"/>
        <w:widowControl w:val="0"/>
        <w:jc w:val="both"/>
        <w:rPr>
          <w:rFonts w:cs="Times New Roman"/>
        </w:rPr>
      </w:pPr>
      <w:r>
        <w:rPr>
          <w:rFonts w:hint="eastAsia" w:cs="Times New Roman"/>
        </w:rPr>
        <w:t>烧结机尾（球团带式焙烧机尾），烧结矿环冷机受料点、卸料点，成品筛分装置、转运点、成品矿槽顶部移动受料点和底部卸料点等应设置密闭罩，并配备除尘设施。</w:t>
      </w:r>
    </w:p>
    <w:p w14:paraId="3E3A3B20">
      <w:pPr>
        <w:spacing w:line="360" w:lineRule="auto"/>
        <w:ind w:firstLine="482" w:firstLineChars="200"/>
        <w:rPr>
          <w:rFonts w:ascii="Times New Roman" w:hAnsi="Times New Roman" w:cs="Times New Roman"/>
          <w:b/>
        </w:rPr>
      </w:pPr>
      <w:r>
        <w:rPr>
          <w:rFonts w:ascii="Times New Roman" w:hAnsi="Times New Roman" w:cs="Times New Roman"/>
          <w:b/>
        </w:rPr>
        <w:t xml:space="preserve">5.3.1.4 </w:t>
      </w:r>
      <w:bookmarkEnd w:id="108"/>
      <w:bookmarkEnd w:id="109"/>
      <w:bookmarkEnd w:id="110"/>
      <w:bookmarkEnd w:id="111"/>
      <w:r>
        <w:rPr>
          <w:rFonts w:hint="eastAsia" w:ascii="Times New Roman" w:hAnsi="Times New Roman" w:cs="Times New Roman"/>
          <w:b/>
        </w:rPr>
        <w:t>炼铁</w:t>
      </w:r>
    </w:p>
    <w:p w14:paraId="6A9F9175">
      <w:pPr>
        <w:pStyle w:val="35"/>
        <w:widowControl w:val="0"/>
        <w:jc w:val="both"/>
        <w:rPr>
          <w:rFonts w:cs="Times New Roman"/>
        </w:rPr>
      </w:pPr>
      <w:r>
        <w:rPr>
          <w:rFonts w:cs="Times New Roman"/>
        </w:rPr>
        <w:t>（1）矿槽系统的受料点、转运点、给料、筛分设备等工位应设置密闭罩，并配备除尘设施；高炉炉顶应设置上料除尘系统。</w:t>
      </w:r>
    </w:p>
    <w:p w14:paraId="05708C13">
      <w:pPr>
        <w:pStyle w:val="35"/>
        <w:widowControl w:val="0"/>
        <w:jc w:val="both"/>
        <w:rPr>
          <w:rFonts w:cs="Times New Roman"/>
        </w:rPr>
      </w:pPr>
      <w:r>
        <w:rPr>
          <w:rFonts w:cs="Times New Roman"/>
        </w:rPr>
        <w:t>（2）高炉出铁场平台应封闭或半封闭，铁沟、渣沟、摆动流嘴（或罐位）等产尘点应加盖封闭，设置集气罩并配备除尘设施；高炉出铁口、铁水罐应设置集气罩，并配备除尘设施。高炉炉顶料罐均压放散废气应采取回收措施。</w:t>
      </w:r>
    </w:p>
    <w:p w14:paraId="6202DF5C">
      <w:pPr>
        <w:pStyle w:val="35"/>
        <w:widowControl w:val="0"/>
        <w:jc w:val="both"/>
        <w:rPr>
          <w:rFonts w:cs="Times New Roman"/>
        </w:rPr>
      </w:pPr>
      <w:r>
        <w:rPr>
          <w:rFonts w:cs="Times New Roman"/>
        </w:rPr>
        <w:t>（3）干渣堆积处，应采取洒水等抑尘措施。铸铁机浇注工位、铁水流槽上部应设置集气罩，并配备除尘设施。</w:t>
      </w:r>
    </w:p>
    <w:p w14:paraId="5439CB45">
      <w:pPr>
        <w:spacing w:line="360" w:lineRule="auto"/>
        <w:ind w:firstLine="482" w:firstLineChars="200"/>
        <w:rPr>
          <w:rFonts w:ascii="Times New Roman" w:hAnsi="Times New Roman" w:cs="Times New Roman"/>
          <w:b/>
        </w:rPr>
      </w:pPr>
      <w:bookmarkStart w:id="112" w:name="OLE_LINK83"/>
      <w:bookmarkStart w:id="113" w:name="OLE_LINK84"/>
      <w:r>
        <w:rPr>
          <w:rFonts w:ascii="Times New Roman" w:hAnsi="Times New Roman" w:cs="Times New Roman"/>
          <w:b/>
        </w:rPr>
        <w:t xml:space="preserve">5.3.1.5 </w:t>
      </w:r>
      <w:r>
        <w:rPr>
          <w:rFonts w:hint="eastAsia" w:ascii="Times New Roman" w:hAnsi="Times New Roman" w:cs="Times New Roman"/>
          <w:b/>
        </w:rPr>
        <w:t>炼钢</w:t>
      </w:r>
    </w:p>
    <w:bookmarkEnd w:id="112"/>
    <w:bookmarkEnd w:id="113"/>
    <w:p w14:paraId="19D73AFD">
      <w:pPr>
        <w:pStyle w:val="35"/>
        <w:widowControl w:val="0"/>
        <w:jc w:val="both"/>
        <w:rPr>
          <w:rFonts w:cs="Times New Roman"/>
        </w:rPr>
      </w:pPr>
      <w:r>
        <w:rPr>
          <w:rFonts w:cs="Times New Roman"/>
        </w:rPr>
        <w:t>（1）炼钢车间（冶炼、连铸）应封闭，设置屋顶罩并配备除尘设施。石灰装卸料点设置密闭集气罩，并配备除尘设施；转炉应采取挡火门密闭，设置炉前和炉后集气罩，并配备除尘设施。</w:t>
      </w:r>
    </w:p>
    <w:p w14:paraId="6735FBB9">
      <w:pPr>
        <w:pStyle w:val="35"/>
        <w:widowControl w:val="0"/>
        <w:jc w:val="both"/>
        <w:rPr>
          <w:rFonts w:cs="Times New Roman"/>
        </w:rPr>
      </w:pPr>
      <w:r>
        <w:rPr>
          <w:rFonts w:cs="Times New Roman"/>
        </w:rPr>
        <w:t>（2）混铁炉、脱硫、倒罐、扒渣等铁水预处理点位应设置集气罩，并配备除尘设施。</w:t>
      </w:r>
    </w:p>
    <w:p w14:paraId="3EE6FD9A">
      <w:pPr>
        <w:pStyle w:val="35"/>
        <w:widowControl w:val="0"/>
        <w:jc w:val="both"/>
        <w:rPr>
          <w:rFonts w:cs="Times New Roman"/>
        </w:rPr>
      </w:pPr>
      <w:r>
        <w:rPr>
          <w:rFonts w:cs="Times New Roman"/>
        </w:rPr>
        <w:t>（3）电弧炉在炉内排烟基础上采用密闭罩与屋顶罩相结合的收集方式。</w:t>
      </w:r>
    </w:p>
    <w:p w14:paraId="1103AD91">
      <w:pPr>
        <w:pStyle w:val="35"/>
        <w:widowControl w:val="0"/>
        <w:jc w:val="both"/>
        <w:rPr>
          <w:rFonts w:cs="Times New Roman"/>
        </w:rPr>
      </w:pPr>
      <w:r>
        <w:rPr>
          <w:rFonts w:cs="Times New Roman"/>
        </w:rPr>
        <w:t>（4）钢包精炼炉、氩氧脱碳炉等精炼装置应设置集气罩，并配备除尘设施。</w:t>
      </w:r>
    </w:p>
    <w:p w14:paraId="16E1FF04">
      <w:pPr>
        <w:pStyle w:val="35"/>
        <w:widowControl w:val="0"/>
        <w:jc w:val="both"/>
        <w:rPr>
          <w:rFonts w:cs="Times New Roman"/>
        </w:rPr>
      </w:pPr>
      <w:r>
        <w:rPr>
          <w:rFonts w:cs="Times New Roman"/>
        </w:rPr>
        <w:t>（5）废钢切制应在封闭空间内进行，设置集气罩，并配备除尘设施。</w:t>
      </w:r>
    </w:p>
    <w:p w14:paraId="1A3B523A">
      <w:pPr>
        <w:spacing w:line="360" w:lineRule="auto"/>
        <w:ind w:firstLine="482" w:firstLineChars="200"/>
        <w:rPr>
          <w:rFonts w:ascii="Times New Roman" w:hAnsi="Times New Roman" w:cs="Times New Roman"/>
          <w:b/>
        </w:rPr>
      </w:pPr>
      <w:r>
        <w:rPr>
          <w:rFonts w:ascii="Times New Roman" w:hAnsi="Times New Roman" w:cs="Times New Roman"/>
          <w:b/>
        </w:rPr>
        <w:t xml:space="preserve">5.3.1.6 </w:t>
      </w:r>
      <w:r>
        <w:rPr>
          <w:rFonts w:hint="eastAsia" w:ascii="Times New Roman" w:hAnsi="Times New Roman" w:cs="Times New Roman"/>
          <w:b/>
        </w:rPr>
        <w:t>轧钢</w:t>
      </w:r>
    </w:p>
    <w:p w14:paraId="151EA86B">
      <w:pPr>
        <w:pStyle w:val="35"/>
        <w:widowControl w:val="0"/>
        <w:jc w:val="both"/>
        <w:rPr>
          <w:rFonts w:cs="Times New Roman"/>
        </w:rPr>
      </w:pPr>
      <w:r>
        <w:rPr>
          <w:rFonts w:cs="Times New Roman"/>
        </w:rPr>
        <w:t>（1）冷轧带钢清洗、酸洗、碱洗、涂层及后处理段的酸雾和碱雾应设除雾器。</w:t>
      </w:r>
    </w:p>
    <w:p w14:paraId="10AFC25F">
      <w:pPr>
        <w:pStyle w:val="35"/>
        <w:widowControl w:val="0"/>
        <w:jc w:val="both"/>
        <w:rPr>
          <w:rFonts w:cs="Times New Roman"/>
        </w:rPr>
      </w:pPr>
      <w:r>
        <w:rPr>
          <w:rFonts w:cs="Times New Roman"/>
        </w:rPr>
        <w:t>（2）轧钢涂（镀）层机组应封闭，喷涂作业以及设备、零件清洗等使用含VOCs产品的过程应密闭，并设置废气收集处理设施，废气收集处理后的排放限值应满足表1规定的限值。</w:t>
      </w:r>
    </w:p>
    <w:p w14:paraId="0B58A60C">
      <w:pPr>
        <w:spacing w:line="360" w:lineRule="auto"/>
        <w:ind w:firstLine="482" w:firstLineChars="200"/>
        <w:rPr>
          <w:rFonts w:ascii="Times New Roman" w:hAnsi="Times New Roman" w:cs="Times New Roman"/>
          <w:b/>
        </w:rPr>
      </w:pPr>
      <w:r>
        <w:rPr>
          <w:rFonts w:ascii="Times New Roman" w:hAnsi="Times New Roman" w:cs="Times New Roman"/>
          <w:b/>
        </w:rPr>
        <w:t>5.3.1.7  焦化</w:t>
      </w:r>
    </w:p>
    <w:p w14:paraId="485B1CE7">
      <w:pPr>
        <w:pStyle w:val="35"/>
        <w:widowControl w:val="0"/>
        <w:jc w:val="both"/>
        <w:rPr>
          <w:rFonts w:cs="Times New Roman"/>
          <w:b/>
          <w:bCs/>
        </w:rPr>
      </w:pPr>
      <w:r>
        <w:rPr>
          <w:rFonts w:cs="Times New Roman"/>
          <w:b/>
          <w:bCs/>
        </w:rPr>
        <w:t>装煤、推（出）焦与熄焦：</w:t>
      </w:r>
    </w:p>
    <w:p w14:paraId="2C5CD82D">
      <w:pPr>
        <w:pStyle w:val="35"/>
        <w:widowControl w:val="0"/>
        <w:jc w:val="both"/>
        <w:rPr>
          <w:rFonts w:cs="Times New Roman"/>
        </w:rPr>
      </w:pPr>
      <w:r>
        <w:rPr>
          <w:rFonts w:cs="Times New Roman"/>
        </w:rPr>
        <w:t>（1）装煤应配备废气收集处理设施或其他有效控制措施。常规焦炉机侧炉门应设置集气罩，对废气进行收集处理，处理后的废气污染物排放浓度执行表1中装煤的控制要求。</w:t>
      </w:r>
    </w:p>
    <w:p w14:paraId="556E120E">
      <w:pPr>
        <w:pStyle w:val="35"/>
        <w:widowControl w:val="0"/>
        <w:jc w:val="both"/>
        <w:rPr>
          <w:rFonts w:cs="Times New Roman"/>
        </w:rPr>
      </w:pPr>
      <w:r>
        <w:rPr>
          <w:rFonts w:cs="Times New Roman"/>
        </w:rPr>
        <w:t>（2）推（出）焦应配备废气收集处理设施。</w:t>
      </w:r>
    </w:p>
    <w:p w14:paraId="1A051330">
      <w:pPr>
        <w:pStyle w:val="35"/>
        <w:widowControl w:val="0"/>
        <w:jc w:val="both"/>
        <w:rPr>
          <w:rFonts w:cs="Times New Roman"/>
        </w:rPr>
      </w:pPr>
      <w:r>
        <w:rPr>
          <w:rFonts w:cs="Times New Roman"/>
        </w:rPr>
        <w:t>（3）干熄炉装入装置、预存室放散口、循环风机放散口、排出装置等产污点应对废气收集处理。</w:t>
      </w:r>
    </w:p>
    <w:p w14:paraId="7C7D3050">
      <w:pPr>
        <w:pStyle w:val="35"/>
        <w:widowControl w:val="0"/>
        <w:jc w:val="both"/>
        <w:rPr>
          <w:rFonts w:cs="Times New Roman"/>
          <w:b/>
          <w:bCs/>
        </w:rPr>
      </w:pPr>
      <w:r>
        <w:rPr>
          <w:rFonts w:cs="Times New Roman"/>
          <w:b/>
          <w:bCs/>
        </w:rPr>
        <w:t>焦炉炉体：</w:t>
      </w:r>
    </w:p>
    <w:p w14:paraId="5EDEFC69">
      <w:pPr>
        <w:pStyle w:val="35"/>
        <w:widowControl w:val="0"/>
        <w:jc w:val="both"/>
        <w:rPr>
          <w:rFonts w:cs="Times New Roman"/>
        </w:rPr>
      </w:pPr>
      <w:r>
        <w:rPr>
          <w:rFonts w:cs="Times New Roman"/>
        </w:rPr>
        <w:t>（1）焦炉炉体与工艺管道连接处应采取密封措施。焦炉炉门、装煤孔盖、上升管盖、上升管根部、桥管与阀体承插等采取密封技术。</w:t>
      </w:r>
    </w:p>
    <w:p w14:paraId="398E3F85">
      <w:pPr>
        <w:pStyle w:val="35"/>
        <w:widowControl w:val="0"/>
        <w:jc w:val="both"/>
        <w:rPr>
          <w:rFonts w:cs="Times New Roman"/>
        </w:rPr>
      </w:pPr>
      <w:r>
        <w:rPr>
          <w:rFonts w:cs="Times New Roman"/>
        </w:rPr>
        <w:t>（2）焦炉须安装荒煤气自动点火放散装置，应连续监测、记录自动点火放散装置的工作状态（压力、点火器启动记录）。</w:t>
      </w:r>
    </w:p>
    <w:p w14:paraId="7B1E1FF3">
      <w:pPr>
        <w:pStyle w:val="35"/>
        <w:widowControl w:val="0"/>
        <w:jc w:val="both"/>
        <w:rPr>
          <w:rFonts w:cs="Times New Roman"/>
          <w:b/>
          <w:bCs/>
        </w:rPr>
      </w:pPr>
      <w:r>
        <w:rPr>
          <w:rFonts w:cs="Times New Roman"/>
          <w:b/>
          <w:bCs/>
        </w:rPr>
        <w:t>煤气净化：</w:t>
      </w:r>
    </w:p>
    <w:p w14:paraId="5D4E5F3C">
      <w:pPr>
        <w:pStyle w:val="35"/>
        <w:widowControl w:val="0"/>
        <w:jc w:val="both"/>
        <w:rPr>
          <w:rFonts w:cs="Times New Roman"/>
        </w:rPr>
      </w:pPr>
      <w:r>
        <w:rPr>
          <w:rFonts w:cs="Times New Roman"/>
        </w:rPr>
        <w:t>（1）冷鼓各类贮槽（罐、池）及其他区域焦油、粗苯等有机液体贮槽（罐）应采用内浮顶罐或固定顶罐，排放的气体应接入气相平衡系统，或采取收集处理措施达到表1规定的限值。</w:t>
      </w:r>
    </w:p>
    <w:p w14:paraId="4EED4448">
      <w:pPr>
        <w:pStyle w:val="35"/>
        <w:widowControl w:val="0"/>
        <w:jc w:val="both"/>
        <w:rPr>
          <w:rFonts w:cs="Times New Roman"/>
        </w:rPr>
      </w:pPr>
      <w:r>
        <w:rPr>
          <w:rFonts w:cs="Times New Roman"/>
        </w:rPr>
        <w:t>（2）内浮顶罐运行要求</w:t>
      </w:r>
    </w:p>
    <w:p w14:paraId="056FB7A5">
      <w:pPr>
        <w:pStyle w:val="35"/>
        <w:widowControl w:val="0"/>
        <w:jc w:val="both"/>
        <w:rPr>
          <w:rFonts w:cs="Times New Roman"/>
        </w:rPr>
      </w:pPr>
      <w:r>
        <w:rPr>
          <w:rFonts w:cs="Times New Roman"/>
        </w:rPr>
        <w:t>a）罐体应保持完好，不应有孔洞（通气孔除外）和裂隙。</w:t>
      </w:r>
    </w:p>
    <w:p w14:paraId="1C4B6609">
      <w:pPr>
        <w:pStyle w:val="35"/>
        <w:widowControl w:val="0"/>
        <w:jc w:val="both"/>
        <w:rPr>
          <w:rFonts w:cs="Times New Roman"/>
        </w:rPr>
      </w:pPr>
      <w:r>
        <w:rPr>
          <w:rFonts w:cs="Times New Roman"/>
        </w:rPr>
        <w:t>b）浮盘附件开口（孔），除采样、计量、例行检查、维护和其他正常活动外，应密闭；浮盘边缘密封不应有破损。</w:t>
      </w:r>
    </w:p>
    <w:p w14:paraId="7C2D3665">
      <w:pPr>
        <w:pStyle w:val="35"/>
        <w:widowControl w:val="0"/>
        <w:jc w:val="both"/>
        <w:rPr>
          <w:rFonts w:cs="Times New Roman"/>
        </w:rPr>
      </w:pPr>
      <w:r>
        <w:rPr>
          <w:rFonts w:cs="Times New Roman"/>
        </w:rPr>
        <w:t>c）支柱、导向装置等储罐附件穿过浮盘时，其套筒底端应插入储存物料中并采取密封措施。</w:t>
      </w:r>
    </w:p>
    <w:p w14:paraId="7F5EC127">
      <w:pPr>
        <w:pStyle w:val="35"/>
        <w:widowControl w:val="0"/>
        <w:jc w:val="both"/>
        <w:rPr>
          <w:rFonts w:cs="Times New Roman"/>
        </w:rPr>
      </w:pPr>
      <w:r>
        <w:rPr>
          <w:rFonts w:cs="Times New Roman"/>
        </w:rPr>
        <w:t>d）除储罐排空作业外，浮盘应始终漂浮于储存物料的表面。</w:t>
      </w:r>
    </w:p>
    <w:p w14:paraId="79A58D26">
      <w:pPr>
        <w:pStyle w:val="35"/>
        <w:widowControl w:val="0"/>
        <w:jc w:val="both"/>
        <w:rPr>
          <w:rFonts w:cs="Times New Roman"/>
        </w:rPr>
      </w:pPr>
      <w:r>
        <w:rPr>
          <w:rFonts w:cs="Times New Roman"/>
        </w:rPr>
        <w:t>e）自动通气阀和边缘呼吸阀在浮盘处于漂浮状态时应关闭且密封良好，仅在浮盘处于支座支撑状态时可开启。</w:t>
      </w:r>
    </w:p>
    <w:p w14:paraId="0EB6D5BA">
      <w:pPr>
        <w:pStyle w:val="35"/>
        <w:widowControl w:val="0"/>
        <w:jc w:val="both"/>
        <w:rPr>
          <w:rFonts w:cs="Times New Roman"/>
        </w:rPr>
      </w:pPr>
      <w:r>
        <w:rPr>
          <w:rFonts w:cs="Times New Roman"/>
        </w:rPr>
        <w:t>f）除自动通气阀、边缘呼吸阀外，浮盘外边缘板及所有通过浮盘的开孔接管均应浸入储存物料液面下。</w:t>
      </w:r>
    </w:p>
    <w:p w14:paraId="1380FA20">
      <w:pPr>
        <w:pStyle w:val="35"/>
        <w:widowControl w:val="0"/>
        <w:jc w:val="both"/>
        <w:rPr>
          <w:rFonts w:cs="Times New Roman"/>
        </w:rPr>
      </w:pPr>
      <w:r>
        <w:rPr>
          <w:rFonts w:cs="Times New Roman"/>
        </w:rPr>
        <w:t>g）储罐呼吸阀操作压力低于设定的开启压力75%时，呼吸阀的泄漏检测值应低于2000 µmol/mol。</w:t>
      </w:r>
    </w:p>
    <w:p w14:paraId="317FAF1C">
      <w:pPr>
        <w:pStyle w:val="35"/>
        <w:widowControl w:val="0"/>
        <w:jc w:val="both"/>
        <w:rPr>
          <w:rFonts w:cs="Times New Roman"/>
        </w:rPr>
      </w:pPr>
      <w:r>
        <w:rPr>
          <w:rFonts w:cs="Times New Roman"/>
        </w:rPr>
        <w:t>（3）固定顶罐运行要求</w:t>
      </w:r>
    </w:p>
    <w:p w14:paraId="2958FC0A">
      <w:pPr>
        <w:pStyle w:val="35"/>
        <w:widowControl w:val="0"/>
        <w:jc w:val="both"/>
        <w:rPr>
          <w:rFonts w:cs="Times New Roman"/>
        </w:rPr>
      </w:pPr>
      <w:r>
        <w:rPr>
          <w:rFonts w:cs="Times New Roman"/>
        </w:rPr>
        <w:t>a）罐体应保持完好，不应有孔洞和裂隙。</w:t>
      </w:r>
    </w:p>
    <w:p w14:paraId="03841B3D">
      <w:pPr>
        <w:pStyle w:val="35"/>
        <w:widowControl w:val="0"/>
        <w:jc w:val="both"/>
        <w:rPr>
          <w:rFonts w:cs="Times New Roman"/>
        </w:rPr>
      </w:pPr>
      <w:r>
        <w:rPr>
          <w:rFonts w:cs="Times New Roman"/>
        </w:rPr>
        <w:t>b）储罐附件开口（孔），除采样、计量、例行检查、维护和其他正常活动外，应密闭。</w:t>
      </w:r>
    </w:p>
    <w:p w14:paraId="7BC89F41">
      <w:pPr>
        <w:pStyle w:val="35"/>
        <w:widowControl w:val="0"/>
        <w:jc w:val="both"/>
        <w:rPr>
          <w:rFonts w:cs="Times New Roman"/>
        </w:rPr>
      </w:pPr>
      <w:r>
        <w:rPr>
          <w:rFonts w:cs="Times New Roman"/>
        </w:rPr>
        <w:t>c）储罐呼吸阀操作压力低于设定的开启压力75%时，呼吸阀的泄漏检测值应低于2000 µmol/mol。</w:t>
      </w:r>
    </w:p>
    <w:p w14:paraId="10421D7B">
      <w:pPr>
        <w:pStyle w:val="35"/>
        <w:widowControl w:val="0"/>
        <w:jc w:val="both"/>
        <w:rPr>
          <w:rFonts w:cs="Times New Roman"/>
        </w:rPr>
      </w:pPr>
      <w:r>
        <w:rPr>
          <w:rFonts w:cs="Times New Roman"/>
        </w:rPr>
        <w:t>（4）储罐维护要求</w:t>
      </w:r>
    </w:p>
    <w:p w14:paraId="22395B1A">
      <w:pPr>
        <w:pStyle w:val="35"/>
        <w:widowControl w:val="0"/>
        <w:jc w:val="both"/>
        <w:rPr>
          <w:rFonts w:cs="Times New Roman"/>
        </w:rPr>
      </w:pPr>
      <w:r>
        <w:rPr>
          <w:rFonts w:cs="Times New Roman"/>
        </w:rPr>
        <w:t>对储罐运行情况进行检查。若不符合1）或2）规定，在不关闭工艺单元的条件下，应在15日内进行修复；若需要关闭工艺单元，则应在90日内修复或排空储罐停止使用；确需延迟排空储罐修复的，应及时向生态环境主管部门报告，并在最近一个检修期（不超过2年）完成。检查与修复记录应至少保存5年。</w:t>
      </w:r>
    </w:p>
    <w:p w14:paraId="2639FF18">
      <w:pPr>
        <w:pStyle w:val="35"/>
        <w:widowControl w:val="0"/>
        <w:jc w:val="both"/>
        <w:rPr>
          <w:rFonts w:cs="Times New Roman"/>
        </w:rPr>
      </w:pPr>
      <w:r>
        <w:rPr>
          <w:rFonts w:cs="Times New Roman"/>
        </w:rPr>
        <w:t>（5）焦油、粗苯、焦油渣、酸焦油、粗苯残渣、洗油残渣及其他VOCs物料的储存、转移和输送应采用密闭措施。焦油装载时，应采用底部装载或顶部浸没式；粗苯等挥发性有机液体装载时，应采用底部装载或顶部浸没式，其中顶部浸没式出料管口距离槽（罐）底部高度小于200 mm；排放的气体应接入气相平衡系统，或采取收集处理措施达到表1规定的限值。</w:t>
      </w:r>
    </w:p>
    <w:p w14:paraId="5750F303">
      <w:pPr>
        <w:pStyle w:val="35"/>
        <w:widowControl w:val="0"/>
        <w:jc w:val="both"/>
        <w:rPr>
          <w:rFonts w:cs="Times New Roman"/>
        </w:rPr>
      </w:pPr>
      <w:r>
        <w:rPr>
          <w:rFonts w:cs="Times New Roman"/>
        </w:rPr>
        <w:t>（6）设备与管线组件VOCs泄漏控制应符合GB 37822的规定。</w:t>
      </w:r>
    </w:p>
    <w:p w14:paraId="2FA1A1F8">
      <w:pPr>
        <w:pStyle w:val="35"/>
        <w:widowControl w:val="0"/>
        <w:jc w:val="both"/>
        <w:rPr>
          <w:rFonts w:cs="Times New Roman"/>
        </w:rPr>
      </w:pPr>
      <w:r>
        <w:rPr>
          <w:rFonts w:cs="Times New Roman"/>
        </w:rPr>
        <w:t>（7）放散煤气进入火炬都应能点燃并充分燃烧，应连续监测、记录引燃设施和火炬的工作状态（水封液位高度、压力、流量、温度、火炬点火器启动记录）。</w:t>
      </w:r>
    </w:p>
    <w:p w14:paraId="13061ECE">
      <w:pPr>
        <w:pStyle w:val="35"/>
        <w:widowControl w:val="0"/>
        <w:jc w:val="both"/>
        <w:rPr>
          <w:rFonts w:cs="Times New Roman"/>
          <w:b/>
          <w:bCs/>
        </w:rPr>
      </w:pPr>
      <w:bookmarkStart w:id="114" w:name="_Toc185779003"/>
      <w:bookmarkStart w:id="115" w:name="_Toc185779067"/>
      <w:bookmarkStart w:id="116" w:name="_Toc185781632"/>
      <w:bookmarkStart w:id="117" w:name="_Toc185784342"/>
      <w:r>
        <w:rPr>
          <w:rFonts w:cs="Times New Roman"/>
          <w:b/>
          <w:bCs/>
        </w:rPr>
        <w:t>敞开液面</w:t>
      </w:r>
      <w:bookmarkEnd w:id="114"/>
      <w:bookmarkEnd w:id="115"/>
      <w:bookmarkEnd w:id="116"/>
      <w:bookmarkEnd w:id="117"/>
    </w:p>
    <w:p w14:paraId="70DE9A45">
      <w:pPr>
        <w:pStyle w:val="35"/>
        <w:widowControl w:val="0"/>
        <w:jc w:val="both"/>
        <w:rPr>
          <w:rFonts w:cs="Times New Roman"/>
        </w:rPr>
      </w:pPr>
      <w:r>
        <w:rPr>
          <w:rFonts w:cs="Times New Roman"/>
        </w:rPr>
        <w:t>（1）生产废水集输系统采用密闭管道输送或加盖沟渠输送，接入口和排出口采取与环境空气隔离的措施。</w:t>
      </w:r>
    </w:p>
    <w:p w14:paraId="53F6366D">
      <w:pPr>
        <w:pStyle w:val="35"/>
        <w:widowControl w:val="0"/>
        <w:jc w:val="both"/>
        <w:rPr>
          <w:rFonts w:cs="Times New Roman"/>
        </w:rPr>
      </w:pPr>
      <w:r>
        <w:rPr>
          <w:rFonts w:cs="Times New Roman"/>
        </w:rPr>
        <w:t>（2）生产废水处理站储存、调节、气浮、隔油等预处理设施以及厌氧池、预曝气池应加盖，污泥处理设施应采取封闭措施，排放的废气收集处理并满足表1规定的限值。</w:t>
      </w:r>
    </w:p>
    <w:p w14:paraId="2DB5F8CC">
      <w:pPr>
        <w:pStyle w:val="35"/>
        <w:jc w:val="both"/>
        <w:rPr>
          <w:rFonts w:cs="Times New Roman"/>
        </w:rPr>
      </w:pPr>
      <w:r>
        <w:rPr>
          <w:rFonts w:cs="Times New Roman"/>
          <w:b/>
        </w:rPr>
        <w:t>5.3.1.8</w:t>
      </w:r>
      <w:r>
        <w:rPr>
          <w:rFonts w:cs="Times New Roman"/>
        </w:rPr>
        <w:t xml:space="preserve">  挥发性有机物物料转移、输送、贮存，以及煤气净化和化学产品回收过程的开式循环冷却水系统，挥发性有机物无组织排放控制要求应符合GB 37822的规定</w:t>
      </w:r>
      <w:r>
        <w:rPr>
          <w:rFonts w:hint="eastAsia" w:cs="Times New Roman"/>
        </w:rPr>
        <w:t>。</w:t>
      </w:r>
    </w:p>
    <w:p w14:paraId="59B28E73">
      <w:pPr>
        <w:pStyle w:val="43"/>
        <w:ind w:firstLine="482"/>
        <w:jc w:val="both"/>
        <w:rPr>
          <w:rFonts w:eastAsia="宋体" w:cs="Times New Roman"/>
        </w:rPr>
      </w:pPr>
      <w:bookmarkStart w:id="118" w:name="_Toc185784343"/>
      <w:bookmarkStart w:id="119" w:name="_Toc185781633"/>
      <w:bookmarkStart w:id="120" w:name="_Toc185779068"/>
      <w:bookmarkStart w:id="121" w:name="_Toc185779004"/>
      <w:bookmarkStart w:id="122" w:name="_Toc217058309"/>
      <w:bookmarkStart w:id="123" w:name="OLE_LINK92"/>
      <w:bookmarkStart w:id="124" w:name="OLE_LINK93"/>
      <w:r>
        <w:rPr>
          <w:rFonts w:eastAsia="宋体" w:cs="Times New Roman"/>
        </w:rPr>
        <w:t>5.3.2 无组织排放大气污染物浓度限值</w:t>
      </w:r>
      <w:bookmarkEnd w:id="118"/>
      <w:bookmarkEnd w:id="119"/>
      <w:bookmarkEnd w:id="120"/>
      <w:bookmarkEnd w:id="121"/>
      <w:bookmarkEnd w:id="122"/>
    </w:p>
    <w:bookmarkEnd w:id="123"/>
    <w:bookmarkEnd w:id="124"/>
    <w:p w14:paraId="41CEA3CE">
      <w:pPr>
        <w:pStyle w:val="35"/>
        <w:jc w:val="both"/>
        <w:rPr>
          <w:rFonts w:cs="Times New Roman"/>
        </w:rPr>
      </w:pPr>
      <w:r>
        <w:rPr>
          <w:rFonts w:cs="Times New Roman"/>
        </w:rPr>
        <w:t>本标准无组织排放限值的确定主要参考现行国标及已发布地方标准省份规定的无组织排放限值来确定。</w:t>
      </w:r>
    </w:p>
    <w:p w14:paraId="39A0D8D5">
      <w:pPr>
        <w:spacing w:line="235" w:lineRule="auto"/>
        <w:jc w:val="center"/>
        <w:rPr>
          <w:rFonts w:ascii="Times New Roman" w:hAnsi="Times New Roman" w:cs="Times New Roman"/>
          <w:b/>
          <w:bCs/>
          <w:szCs w:val="32"/>
        </w:rPr>
      </w:pPr>
      <w:r>
        <w:rPr>
          <w:rFonts w:ascii="Times New Roman" w:hAnsi="Times New Roman" w:cs="Times New Roman"/>
          <w:b/>
          <w:bCs/>
          <w:szCs w:val="32"/>
        </w:rPr>
        <w:t>表5-13  大气污染物</w:t>
      </w:r>
      <w:bookmarkStart w:id="125" w:name="_Hlk79273272"/>
      <w:r>
        <w:rPr>
          <w:rFonts w:ascii="Times New Roman" w:hAnsi="Times New Roman" w:cs="Times New Roman"/>
          <w:b/>
          <w:bCs/>
          <w:szCs w:val="32"/>
        </w:rPr>
        <w:t>无组织排放浓度限值</w:t>
      </w:r>
      <w:bookmarkEnd w:id="125"/>
      <w:r>
        <w:rPr>
          <w:rFonts w:ascii="Times New Roman" w:hAnsi="Times New Roman" w:cs="Times New Roman"/>
          <w:b/>
          <w:bCs/>
          <w:szCs w:val="32"/>
        </w:rPr>
        <w:t>（钢铁工序）</w:t>
      </w:r>
    </w:p>
    <w:p w14:paraId="65A7D3CE">
      <w:pPr>
        <w:jc w:val="right"/>
        <w:rPr>
          <w:rFonts w:ascii="Times New Roman" w:hAnsi="Times New Roman" w:cs="Times New Roman"/>
          <w:sz w:val="18"/>
          <w:szCs w:val="18"/>
        </w:rPr>
      </w:pPr>
      <w:r>
        <w:rPr>
          <w:rFonts w:ascii="Times New Roman" w:hAnsi="Times New Roman" w:cs="Times New Roman"/>
          <w:sz w:val="18"/>
          <w:szCs w:val="18"/>
        </w:rPr>
        <w:t>单位：mg/m</w:t>
      </w:r>
      <w:r>
        <w:rPr>
          <w:rFonts w:ascii="Times New Roman" w:hAnsi="Times New Roman" w:cs="Times New Roman"/>
          <w:sz w:val="18"/>
          <w:szCs w:val="18"/>
          <w:vertAlign w:val="superscript"/>
        </w:rPr>
        <w:t>3</w:t>
      </w:r>
    </w:p>
    <w:tbl>
      <w:tblPr>
        <w:tblStyle w:val="27"/>
        <w:tblW w:w="5126"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849"/>
        <w:gridCol w:w="830"/>
        <w:gridCol w:w="690"/>
        <w:gridCol w:w="830"/>
        <w:gridCol w:w="833"/>
        <w:gridCol w:w="833"/>
        <w:gridCol w:w="830"/>
        <w:gridCol w:w="833"/>
        <w:gridCol w:w="818"/>
        <w:gridCol w:w="725"/>
      </w:tblGrid>
      <w:tr w14:paraId="2E3174F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restart"/>
            <w:vAlign w:val="center"/>
          </w:tcPr>
          <w:p w14:paraId="1EFA24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工序</w:t>
            </w:r>
          </w:p>
        </w:tc>
        <w:tc>
          <w:tcPr>
            <w:tcW w:w="484" w:type="pct"/>
            <w:vMerge w:val="restart"/>
            <w:vAlign w:val="center"/>
          </w:tcPr>
          <w:p w14:paraId="6236758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生产工艺或设施</w:t>
            </w:r>
          </w:p>
        </w:tc>
        <w:tc>
          <w:tcPr>
            <w:tcW w:w="475" w:type="pct"/>
            <w:vMerge w:val="restart"/>
            <w:vAlign w:val="center"/>
          </w:tcPr>
          <w:p w14:paraId="2F9C635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污染物项目</w:t>
            </w:r>
          </w:p>
        </w:tc>
        <w:tc>
          <w:tcPr>
            <w:tcW w:w="3659" w:type="pct"/>
            <w:gridSpan w:val="8"/>
            <w:vAlign w:val="center"/>
          </w:tcPr>
          <w:p w14:paraId="6579473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排放浓度限值</w:t>
            </w:r>
          </w:p>
        </w:tc>
      </w:tr>
      <w:tr w14:paraId="39BF87E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continue"/>
            <w:vAlign w:val="center"/>
          </w:tcPr>
          <w:p w14:paraId="22ED9EB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Merge w:val="continue"/>
            <w:vAlign w:val="center"/>
          </w:tcPr>
          <w:p w14:paraId="3077ED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75" w:type="pct"/>
            <w:vMerge w:val="continue"/>
            <w:vAlign w:val="center"/>
          </w:tcPr>
          <w:p w14:paraId="4775A2F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395" w:type="pct"/>
            <w:tcBorders>
              <w:right w:val="single" w:color="auto" w:sz="4" w:space="0"/>
            </w:tcBorders>
            <w:vAlign w:val="center"/>
          </w:tcPr>
          <w:p w14:paraId="24C803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现行国标</w:t>
            </w:r>
          </w:p>
        </w:tc>
        <w:tc>
          <w:tcPr>
            <w:tcW w:w="475" w:type="pct"/>
            <w:tcBorders>
              <w:right w:val="single" w:color="auto" w:sz="4" w:space="0"/>
            </w:tcBorders>
            <w:vAlign w:val="center"/>
          </w:tcPr>
          <w:p w14:paraId="398B2DF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河北省标准（DB13/2169-2018）</w:t>
            </w:r>
          </w:p>
        </w:tc>
        <w:tc>
          <w:tcPr>
            <w:tcW w:w="477" w:type="pct"/>
            <w:tcBorders>
              <w:left w:val="single" w:color="auto" w:sz="4" w:space="0"/>
              <w:right w:val="single" w:color="auto" w:sz="4" w:space="0"/>
            </w:tcBorders>
            <w:vAlign w:val="center"/>
          </w:tcPr>
          <w:p w14:paraId="785792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山东省标准（DB37/990-2019）</w:t>
            </w:r>
          </w:p>
        </w:tc>
        <w:tc>
          <w:tcPr>
            <w:tcW w:w="477" w:type="pct"/>
            <w:tcBorders>
              <w:left w:val="single" w:color="auto" w:sz="4" w:space="0"/>
              <w:right w:val="single" w:color="auto" w:sz="4" w:space="0"/>
            </w:tcBorders>
            <w:vAlign w:val="center"/>
          </w:tcPr>
          <w:p w14:paraId="71D921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河南省标准（DB41/1954-2020）</w:t>
            </w:r>
          </w:p>
        </w:tc>
        <w:tc>
          <w:tcPr>
            <w:tcW w:w="475" w:type="pct"/>
            <w:tcBorders>
              <w:left w:val="single" w:color="auto" w:sz="4" w:space="0"/>
              <w:right w:val="single" w:color="auto" w:sz="4" w:space="0"/>
            </w:tcBorders>
            <w:vAlign w:val="center"/>
          </w:tcPr>
          <w:p w14:paraId="5C3A6C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山西省标准（DB14/2249-2020）</w:t>
            </w:r>
          </w:p>
        </w:tc>
        <w:tc>
          <w:tcPr>
            <w:tcW w:w="477" w:type="pct"/>
            <w:tcBorders>
              <w:left w:val="single" w:color="auto" w:sz="4" w:space="0"/>
              <w:right w:val="single" w:color="auto" w:sz="4" w:space="0"/>
            </w:tcBorders>
            <w:vAlign w:val="center"/>
          </w:tcPr>
          <w:p w14:paraId="3AA8E1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天津市标准（DB12/1120-2022）</w:t>
            </w:r>
          </w:p>
        </w:tc>
        <w:tc>
          <w:tcPr>
            <w:tcW w:w="468" w:type="pct"/>
            <w:tcBorders>
              <w:left w:val="single" w:color="auto" w:sz="4" w:space="0"/>
            </w:tcBorders>
            <w:vAlign w:val="center"/>
          </w:tcPr>
          <w:p w14:paraId="12B69A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辽宁省标准</w:t>
            </w:r>
          </w:p>
          <w:p w14:paraId="20CDA9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（DB21/4119-2025）</w:t>
            </w:r>
          </w:p>
        </w:tc>
        <w:tc>
          <w:tcPr>
            <w:tcW w:w="416" w:type="pct"/>
            <w:tcBorders>
              <w:left w:val="single" w:color="auto" w:sz="4" w:space="0"/>
            </w:tcBorders>
            <w:vAlign w:val="center"/>
          </w:tcPr>
          <w:p w14:paraId="53DE68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拟定限值</w:t>
            </w:r>
          </w:p>
        </w:tc>
      </w:tr>
      <w:tr w14:paraId="77ED344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restart"/>
            <w:vAlign w:val="center"/>
          </w:tcPr>
          <w:p w14:paraId="71FB2E42">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烧结、球团、炼铁、炼钢</w:t>
            </w:r>
          </w:p>
        </w:tc>
        <w:tc>
          <w:tcPr>
            <w:tcW w:w="484" w:type="pct"/>
            <w:vAlign w:val="center"/>
          </w:tcPr>
          <w:p w14:paraId="4F26F4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有厂房生产车间</w:t>
            </w:r>
          </w:p>
        </w:tc>
        <w:tc>
          <w:tcPr>
            <w:tcW w:w="475" w:type="pct"/>
            <w:vMerge w:val="restart"/>
            <w:vAlign w:val="center"/>
          </w:tcPr>
          <w:p w14:paraId="07A4AD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395" w:type="pct"/>
            <w:tcBorders>
              <w:right w:val="single" w:color="auto" w:sz="4" w:space="0"/>
            </w:tcBorders>
            <w:vAlign w:val="center"/>
          </w:tcPr>
          <w:p w14:paraId="76BC610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75" w:type="pct"/>
            <w:tcBorders>
              <w:right w:val="single" w:color="auto" w:sz="4" w:space="0"/>
            </w:tcBorders>
            <w:vAlign w:val="center"/>
          </w:tcPr>
          <w:p w14:paraId="41C5183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77" w:type="pct"/>
            <w:tcBorders>
              <w:left w:val="single" w:color="auto" w:sz="4" w:space="0"/>
              <w:right w:val="single" w:color="auto" w:sz="4" w:space="0"/>
            </w:tcBorders>
            <w:vAlign w:val="center"/>
          </w:tcPr>
          <w:p w14:paraId="69B698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77" w:type="pct"/>
            <w:tcBorders>
              <w:left w:val="single" w:color="auto" w:sz="4" w:space="0"/>
              <w:right w:val="single" w:color="auto" w:sz="4" w:space="0"/>
            </w:tcBorders>
            <w:vAlign w:val="center"/>
          </w:tcPr>
          <w:p w14:paraId="3E68319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75" w:type="pct"/>
            <w:tcBorders>
              <w:left w:val="single" w:color="auto" w:sz="4" w:space="0"/>
              <w:right w:val="single" w:color="auto" w:sz="4" w:space="0"/>
            </w:tcBorders>
            <w:vAlign w:val="center"/>
          </w:tcPr>
          <w:p w14:paraId="1AF6ED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77" w:type="pct"/>
            <w:tcBorders>
              <w:left w:val="single" w:color="auto" w:sz="4" w:space="0"/>
              <w:right w:val="single" w:color="auto" w:sz="4" w:space="0"/>
            </w:tcBorders>
            <w:vAlign w:val="center"/>
          </w:tcPr>
          <w:p w14:paraId="5C61DE0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68" w:type="pct"/>
            <w:tcBorders>
              <w:left w:val="single" w:color="auto" w:sz="4" w:space="0"/>
            </w:tcBorders>
            <w:vAlign w:val="center"/>
          </w:tcPr>
          <w:p w14:paraId="639F23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416" w:type="pct"/>
            <w:tcBorders>
              <w:left w:val="single" w:color="auto" w:sz="4" w:space="0"/>
            </w:tcBorders>
            <w:vAlign w:val="center"/>
          </w:tcPr>
          <w:p w14:paraId="58E62DB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r>
      <w:tr w14:paraId="594C6CB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continue"/>
            <w:vAlign w:val="center"/>
          </w:tcPr>
          <w:p w14:paraId="72BDBAC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Align w:val="center"/>
          </w:tcPr>
          <w:p w14:paraId="04AECED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无完整厂房车间</w:t>
            </w:r>
          </w:p>
        </w:tc>
        <w:tc>
          <w:tcPr>
            <w:tcW w:w="475" w:type="pct"/>
            <w:vMerge w:val="continue"/>
            <w:vAlign w:val="center"/>
          </w:tcPr>
          <w:p w14:paraId="278703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395" w:type="pct"/>
            <w:tcBorders>
              <w:right w:val="single" w:color="auto" w:sz="4" w:space="0"/>
            </w:tcBorders>
            <w:vAlign w:val="center"/>
          </w:tcPr>
          <w:p w14:paraId="162A76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75" w:type="pct"/>
            <w:tcBorders>
              <w:right w:val="single" w:color="auto" w:sz="4" w:space="0"/>
            </w:tcBorders>
            <w:vAlign w:val="center"/>
          </w:tcPr>
          <w:p w14:paraId="0C1E64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77" w:type="pct"/>
            <w:tcBorders>
              <w:left w:val="single" w:color="auto" w:sz="4" w:space="0"/>
              <w:right w:val="single" w:color="auto" w:sz="4" w:space="0"/>
            </w:tcBorders>
            <w:vAlign w:val="center"/>
          </w:tcPr>
          <w:p w14:paraId="09ABAA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77" w:type="pct"/>
            <w:tcBorders>
              <w:left w:val="single" w:color="auto" w:sz="4" w:space="0"/>
              <w:right w:val="single" w:color="auto" w:sz="4" w:space="0"/>
            </w:tcBorders>
            <w:vAlign w:val="center"/>
          </w:tcPr>
          <w:p w14:paraId="493F316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75" w:type="pct"/>
            <w:tcBorders>
              <w:left w:val="single" w:color="auto" w:sz="4" w:space="0"/>
              <w:right w:val="single" w:color="auto" w:sz="4" w:space="0"/>
            </w:tcBorders>
            <w:vAlign w:val="center"/>
          </w:tcPr>
          <w:p w14:paraId="5A3434B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77" w:type="pct"/>
            <w:tcBorders>
              <w:left w:val="single" w:color="auto" w:sz="4" w:space="0"/>
              <w:right w:val="single" w:color="auto" w:sz="4" w:space="0"/>
            </w:tcBorders>
            <w:vAlign w:val="center"/>
          </w:tcPr>
          <w:p w14:paraId="6D22E6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68" w:type="pct"/>
            <w:tcBorders>
              <w:left w:val="single" w:color="auto" w:sz="4" w:space="0"/>
            </w:tcBorders>
            <w:vAlign w:val="center"/>
          </w:tcPr>
          <w:p w14:paraId="414E14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w:t>
            </w:r>
          </w:p>
        </w:tc>
        <w:tc>
          <w:tcPr>
            <w:tcW w:w="416" w:type="pct"/>
            <w:tcBorders>
              <w:left w:val="single" w:color="auto" w:sz="4" w:space="0"/>
            </w:tcBorders>
            <w:vAlign w:val="center"/>
          </w:tcPr>
          <w:p w14:paraId="034AAA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r>
      <w:tr w14:paraId="2879B18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restart"/>
            <w:vAlign w:val="center"/>
          </w:tcPr>
          <w:p w14:paraId="3F189E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轧钢</w:t>
            </w:r>
          </w:p>
        </w:tc>
        <w:tc>
          <w:tcPr>
            <w:tcW w:w="484" w:type="pct"/>
            <w:vAlign w:val="center"/>
          </w:tcPr>
          <w:p w14:paraId="0266ADF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板坯加热、磨辊作业、钢卷精整、酸再生下料</w:t>
            </w:r>
          </w:p>
        </w:tc>
        <w:tc>
          <w:tcPr>
            <w:tcW w:w="475" w:type="pct"/>
            <w:vAlign w:val="center"/>
          </w:tcPr>
          <w:p w14:paraId="6950DE4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395" w:type="pct"/>
            <w:tcBorders>
              <w:right w:val="single" w:color="auto" w:sz="4" w:space="0"/>
            </w:tcBorders>
            <w:vAlign w:val="center"/>
          </w:tcPr>
          <w:p w14:paraId="23B8BFD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75" w:type="pct"/>
            <w:tcBorders>
              <w:right w:val="single" w:color="auto" w:sz="4" w:space="0"/>
            </w:tcBorders>
            <w:vAlign w:val="center"/>
          </w:tcPr>
          <w:p w14:paraId="546D25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7" w:type="pct"/>
            <w:tcBorders>
              <w:left w:val="single" w:color="auto" w:sz="4" w:space="0"/>
              <w:right w:val="single" w:color="auto" w:sz="4" w:space="0"/>
            </w:tcBorders>
            <w:vAlign w:val="center"/>
          </w:tcPr>
          <w:p w14:paraId="022178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77" w:type="pct"/>
            <w:tcBorders>
              <w:left w:val="single" w:color="auto" w:sz="4" w:space="0"/>
              <w:right w:val="single" w:color="auto" w:sz="4" w:space="0"/>
            </w:tcBorders>
            <w:vAlign w:val="center"/>
          </w:tcPr>
          <w:p w14:paraId="0DA929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5" w:type="pct"/>
            <w:tcBorders>
              <w:left w:val="single" w:color="auto" w:sz="4" w:space="0"/>
              <w:right w:val="single" w:color="auto" w:sz="4" w:space="0"/>
            </w:tcBorders>
            <w:vAlign w:val="center"/>
          </w:tcPr>
          <w:p w14:paraId="007AAB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w:t>
            </w:r>
          </w:p>
        </w:tc>
        <w:tc>
          <w:tcPr>
            <w:tcW w:w="477" w:type="pct"/>
            <w:tcBorders>
              <w:left w:val="single" w:color="auto" w:sz="4" w:space="0"/>
              <w:right w:val="single" w:color="auto" w:sz="4" w:space="0"/>
            </w:tcBorders>
            <w:vAlign w:val="center"/>
          </w:tcPr>
          <w:p w14:paraId="0B06DC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68" w:type="pct"/>
            <w:tcBorders>
              <w:left w:val="single" w:color="auto" w:sz="4" w:space="0"/>
            </w:tcBorders>
            <w:vAlign w:val="center"/>
          </w:tcPr>
          <w:p w14:paraId="0E67F6B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w:t>
            </w:r>
          </w:p>
        </w:tc>
        <w:tc>
          <w:tcPr>
            <w:tcW w:w="416" w:type="pct"/>
            <w:tcBorders>
              <w:left w:val="single" w:color="auto" w:sz="4" w:space="0"/>
            </w:tcBorders>
            <w:vAlign w:val="center"/>
          </w:tcPr>
          <w:p w14:paraId="72651D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r>
      <w:tr w14:paraId="1C18F01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continue"/>
            <w:vAlign w:val="center"/>
          </w:tcPr>
          <w:p w14:paraId="5853165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Merge w:val="restart"/>
            <w:vAlign w:val="center"/>
          </w:tcPr>
          <w:p w14:paraId="6B9EB1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酸洗机组及废酸再生</w:t>
            </w:r>
          </w:p>
        </w:tc>
        <w:tc>
          <w:tcPr>
            <w:tcW w:w="475" w:type="pct"/>
            <w:vAlign w:val="center"/>
          </w:tcPr>
          <w:p w14:paraId="785BDA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硫酸雾</w:t>
            </w:r>
          </w:p>
        </w:tc>
        <w:tc>
          <w:tcPr>
            <w:tcW w:w="395" w:type="pct"/>
            <w:tcBorders>
              <w:right w:val="single" w:color="auto" w:sz="4" w:space="0"/>
            </w:tcBorders>
            <w:vAlign w:val="center"/>
          </w:tcPr>
          <w:p w14:paraId="779571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75" w:type="pct"/>
            <w:tcBorders>
              <w:right w:val="single" w:color="auto" w:sz="4" w:space="0"/>
            </w:tcBorders>
            <w:vAlign w:val="center"/>
          </w:tcPr>
          <w:p w14:paraId="3B05DE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77" w:type="pct"/>
            <w:tcBorders>
              <w:left w:val="single" w:color="auto" w:sz="4" w:space="0"/>
              <w:right w:val="single" w:color="auto" w:sz="4" w:space="0"/>
            </w:tcBorders>
            <w:vAlign w:val="center"/>
          </w:tcPr>
          <w:p w14:paraId="4DF6C9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77" w:type="pct"/>
            <w:tcBorders>
              <w:left w:val="single" w:color="auto" w:sz="4" w:space="0"/>
              <w:right w:val="single" w:color="auto" w:sz="4" w:space="0"/>
            </w:tcBorders>
            <w:vAlign w:val="center"/>
          </w:tcPr>
          <w:p w14:paraId="3EF353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75" w:type="pct"/>
            <w:tcBorders>
              <w:left w:val="single" w:color="auto" w:sz="4" w:space="0"/>
              <w:right w:val="single" w:color="auto" w:sz="4" w:space="0"/>
            </w:tcBorders>
            <w:vAlign w:val="center"/>
          </w:tcPr>
          <w:p w14:paraId="5212B0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77" w:type="pct"/>
            <w:tcBorders>
              <w:left w:val="single" w:color="auto" w:sz="4" w:space="0"/>
              <w:right w:val="single" w:color="auto" w:sz="4" w:space="0"/>
            </w:tcBorders>
            <w:vAlign w:val="center"/>
          </w:tcPr>
          <w:p w14:paraId="6E0E26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68" w:type="pct"/>
            <w:tcBorders>
              <w:left w:val="single" w:color="auto" w:sz="4" w:space="0"/>
            </w:tcBorders>
            <w:vAlign w:val="center"/>
          </w:tcPr>
          <w:p w14:paraId="371415A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16" w:type="pct"/>
            <w:tcBorders>
              <w:left w:val="single" w:color="auto" w:sz="4" w:space="0"/>
            </w:tcBorders>
            <w:vAlign w:val="center"/>
          </w:tcPr>
          <w:p w14:paraId="51B159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r>
      <w:tr w14:paraId="206BAF1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PrEx>
        <w:trPr>
          <w:jc w:val="center"/>
        </w:trPr>
        <w:tc>
          <w:tcPr>
            <w:tcW w:w="381" w:type="pct"/>
            <w:vMerge w:val="continue"/>
            <w:vAlign w:val="center"/>
          </w:tcPr>
          <w:p w14:paraId="666881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Merge w:val="continue"/>
            <w:vAlign w:val="center"/>
          </w:tcPr>
          <w:p w14:paraId="53BA53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75" w:type="pct"/>
            <w:vAlign w:val="center"/>
          </w:tcPr>
          <w:p w14:paraId="284E646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氯化氢</w:t>
            </w:r>
          </w:p>
        </w:tc>
        <w:tc>
          <w:tcPr>
            <w:tcW w:w="395" w:type="pct"/>
            <w:tcBorders>
              <w:right w:val="single" w:color="auto" w:sz="4" w:space="0"/>
            </w:tcBorders>
            <w:vAlign w:val="center"/>
          </w:tcPr>
          <w:p w14:paraId="35A9949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75" w:type="pct"/>
            <w:tcBorders>
              <w:right w:val="single" w:color="auto" w:sz="4" w:space="0"/>
            </w:tcBorders>
            <w:vAlign w:val="center"/>
          </w:tcPr>
          <w:p w14:paraId="1551BA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77" w:type="pct"/>
            <w:tcBorders>
              <w:left w:val="single" w:color="auto" w:sz="4" w:space="0"/>
              <w:right w:val="single" w:color="auto" w:sz="4" w:space="0"/>
            </w:tcBorders>
            <w:vAlign w:val="center"/>
          </w:tcPr>
          <w:p w14:paraId="070CCB2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77" w:type="pct"/>
            <w:tcBorders>
              <w:left w:val="single" w:color="auto" w:sz="4" w:space="0"/>
              <w:right w:val="single" w:color="auto" w:sz="4" w:space="0"/>
            </w:tcBorders>
            <w:vAlign w:val="center"/>
          </w:tcPr>
          <w:p w14:paraId="62452EE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75" w:type="pct"/>
            <w:tcBorders>
              <w:left w:val="single" w:color="auto" w:sz="4" w:space="0"/>
              <w:right w:val="single" w:color="auto" w:sz="4" w:space="0"/>
            </w:tcBorders>
            <w:vAlign w:val="center"/>
          </w:tcPr>
          <w:p w14:paraId="421F40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77" w:type="pct"/>
            <w:tcBorders>
              <w:left w:val="single" w:color="auto" w:sz="4" w:space="0"/>
              <w:right w:val="single" w:color="auto" w:sz="4" w:space="0"/>
            </w:tcBorders>
            <w:vAlign w:val="center"/>
          </w:tcPr>
          <w:p w14:paraId="7662D46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68" w:type="pct"/>
            <w:tcBorders>
              <w:left w:val="single" w:color="auto" w:sz="4" w:space="0"/>
            </w:tcBorders>
            <w:vAlign w:val="center"/>
          </w:tcPr>
          <w:p w14:paraId="767CFD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16" w:type="pct"/>
            <w:tcBorders>
              <w:left w:val="single" w:color="auto" w:sz="4" w:space="0"/>
            </w:tcBorders>
            <w:vAlign w:val="center"/>
          </w:tcPr>
          <w:p w14:paraId="18FA6C6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r>
      <w:tr w14:paraId="50622AF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continue"/>
            <w:vAlign w:val="center"/>
          </w:tcPr>
          <w:p w14:paraId="35C568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Merge w:val="continue"/>
            <w:vAlign w:val="center"/>
          </w:tcPr>
          <w:p w14:paraId="70B349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75" w:type="pct"/>
            <w:vAlign w:val="center"/>
          </w:tcPr>
          <w:p w14:paraId="3CCE11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硝酸雾</w:t>
            </w:r>
          </w:p>
        </w:tc>
        <w:tc>
          <w:tcPr>
            <w:tcW w:w="395" w:type="pct"/>
            <w:tcBorders>
              <w:right w:val="single" w:color="auto" w:sz="4" w:space="0"/>
            </w:tcBorders>
            <w:vAlign w:val="center"/>
          </w:tcPr>
          <w:p w14:paraId="6291A0B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75" w:type="pct"/>
            <w:tcBorders>
              <w:right w:val="single" w:color="auto" w:sz="4" w:space="0"/>
            </w:tcBorders>
            <w:vAlign w:val="center"/>
          </w:tcPr>
          <w:p w14:paraId="6D1ADDF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77" w:type="pct"/>
            <w:tcBorders>
              <w:left w:val="single" w:color="auto" w:sz="4" w:space="0"/>
              <w:right w:val="single" w:color="auto" w:sz="4" w:space="0"/>
            </w:tcBorders>
            <w:vAlign w:val="center"/>
          </w:tcPr>
          <w:p w14:paraId="0B13A9D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77" w:type="pct"/>
            <w:tcBorders>
              <w:left w:val="single" w:color="auto" w:sz="4" w:space="0"/>
              <w:right w:val="single" w:color="auto" w:sz="4" w:space="0"/>
            </w:tcBorders>
            <w:vAlign w:val="center"/>
          </w:tcPr>
          <w:p w14:paraId="16836C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75" w:type="pct"/>
            <w:tcBorders>
              <w:left w:val="single" w:color="auto" w:sz="4" w:space="0"/>
              <w:right w:val="single" w:color="auto" w:sz="4" w:space="0"/>
            </w:tcBorders>
            <w:vAlign w:val="center"/>
          </w:tcPr>
          <w:p w14:paraId="192B67B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77" w:type="pct"/>
            <w:tcBorders>
              <w:left w:val="single" w:color="auto" w:sz="4" w:space="0"/>
              <w:right w:val="single" w:color="auto" w:sz="4" w:space="0"/>
            </w:tcBorders>
            <w:vAlign w:val="center"/>
          </w:tcPr>
          <w:p w14:paraId="38134F6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68" w:type="pct"/>
            <w:tcBorders>
              <w:left w:val="single" w:color="auto" w:sz="4" w:space="0"/>
            </w:tcBorders>
            <w:vAlign w:val="center"/>
          </w:tcPr>
          <w:p w14:paraId="082DF8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16" w:type="pct"/>
            <w:tcBorders>
              <w:left w:val="single" w:color="auto" w:sz="4" w:space="0"/>
            </w:tcBorders>
            <w:vAlign w:val="center"/>
          </w:tcPr>
          <w:p w14:paraId="7FC83B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r>
      <w:tr w14:paraId="1B59106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continue"/>
            <w:vAlign w:val="center"/>
          </w:tcPr>
          <w:p w14:paraId="7DE74FB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Merge w:val="restart"/>
            <w:vAlign w:val="center"/>
          </w:tcPr>
          <w:p w14:paraId="3B85010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涂层机组</w:t>
            </w:r>
          </w:p>
        </w:tc>
        <w:tc>
          <w:tcPr>
            <w:tcW w:w="475" w:type="pct"/>
            <w:vAlign w:val="center"/>
          </w:tcPr>
          <w:p w14:paraId="0B52B6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w:t>
            </w:r>
          </w:p>
        </w:tc>
        <w:tc>
          <w:tcPr>
            <w:tcW w:w="395" w:type="pct"/>
            <w:tcBorders>
              <w:right w:val="single" w:color="auto" w:sz="4" w:space="0"/>
            </w:tcBorders>
            <w:vAlign w:val="center"/>
          </w:tcPr>
          <w:p w14:paraId="3F4778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75" w:type="pct"/>
            <w:tcBorders>
              <w:right w:val="single" w:color="auto" w:sz="4" w:space="0"/>
            </w:tcBorders>
            <w:vAlign w:val="center"/>
          </w:tcPr>
          <w:p w14:paraId="57D817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77" w:type="pct"/>
            <w:tcBorders>
              <w:left w:val="single" w:color="auto" w:sz="4" w:space="0"/>
              <w:right w:val="single" w:color="auto" w:sz="4" w:space="0"/>
            </w:tcBorders>
            <w:vAlign w:val="center"/>
          </w:tcPr>
          <w:p w14:paraId="798174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7" w:type="pct"/>
            <w:tcBorders>
              <w:left w:val="single" w:color="auto" w:sz="4" w:space="0"/>
              <w:right w:val="single" w:color="auto" w:sz="4" w:space="0"/>
            </w:tcBorders>
            <w:vAlign w:val="center"/>
          </w:tcPr>
          <w:p w14:paraId="07BD6BB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75" w:type="pct"/>
            <w:tcBorders>
              <w:left w:val="single" w:color="auto" w:sz="4" w:space="0"/>
              <w:right w:val="single" w:color="auto" w:sz="4" w:space="0"/>
            </w:tcBorders>
            <w:vAlign w:val="center"/>
          </w:tcPr>
          <w:p w14:paraId="28DC5DB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477" w:type="pct"/>
            <w:tcBorders>
              <w:left w:val="single" w:color="auto" w:sz="4" w:space="0"/>
              <w:right w:val="single" w:color="auto" w:sz="4" w:space="0"/>
            </w:tcBorders>
            <w:vAlign w:val="center"/>
          </w:tcPr>
          <w:p w14:paraId="7B4BFE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68" w:type="pct"/>
            <w:tcBorders>
              <w:left w:val="single" w:color="auto" w:sz="4" w:space="0"/>
            </w:tcBorders>
            <w:vAlign w:val="center"/>
          </w:tcPr>
          <w:p w14:paraId="1E82226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16" w:type="pct"/>
            <w:tcBorders>
              <w:left w:val="single" w:color="auto" w:sz="4" w:space="0"/>
            </w:tcBorders>
            <w:vAlign w:val="center"/>
          </w:tcPr>
          <w:p w14:paraId="6A8108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r>
      <w:tr w14:paraId="3611278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continue"/>
            <w:vAlign w:val="center"/>
          </w:tcPr>
          <w:p w14:paraId="57BABBA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Merge w:val="continue"/>
            <w:vAlign w:val="center"/>
          </w:tcPr>
          <w:p w14:paraId="5802211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75" w:type="pct"/>
            <w:vAlign w:val="center"/>
          </w:tcPr>
          <w:p w14:paraId="4D7FA9E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甲苯</w:t>
            </w:r>
          </w:p>
        </w:tc>
        <w:tc>
          <w:tcPr>
            <w:tcW w:w="395" w:type="pct"/>
            <w:tcBorders>
              <w:right w:val="single" w:color="auto" w:sz="4" w:space="0"/>
            </w:tcBorders>
            <w:vAlign w:val="center"/>
          </w:tcPr>
          <w:p w14:paraId="7AB0AE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75" w:type="pct"/>
            <w:tcBorders>
              <w:right w:val="single" w:color="auto" w:sz="4" w:space="0"/>
            </w:tcBorders>
            <w:vAlign w:val="center"/>
          </w:tcPr>
          <w:p w14:paraId="73E6A0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77" w:type="pct"/>
            <w:tcBorders>
              <w:left w:val="single" w:color="auto" w:sz="4" w:space="0"/>
              <w:right w:val="single" w:color="auto" w:sz="4" w:space="0"/>
            </w:tcBorders>
            <w:vAlign w:val="center"/>
          </w:tcPr>
          <w:p w14:paraId="538C391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7" w:type="pct"/>
            <w:tcBorders>
              <w:left w:val="single" w:color="auto" w:sz="4" w:space="0"/>
              <w:right w:val="single" w:color="auto" w:sz="4" w:space="0"/>
            </w:tcBorders>
            <w:vAlign w:val="center"/>
          </w:tcPr>
          <w:p w14:paraId="718BE89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75" w:type="pct"/>
            <w:tcBorders>
              <w:left w:val="single" w:color="auto" w:sz="4" w:space="0"/>
              <w:right w:val="single" w:color="auto" w:sz="4" w:space="0"/>
            </w:tcBorders>
            <w:vAlign w:val="center"/>
          </w:tcPr>
          <w:p w14:paraId="004162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477" w:type="pct"/>
            <w:tcBorders>
              <w:left w:val="single" w:color="auto" w:sz="4" w:space="0"/>
              <w:right w:val="single" w:color="auto" w:sz="4" w:space="0"/>
            </w:tcBorders>
            <w:vAlign w:val="center"/>
          </w:tcPr>
          <w:p w14:paraId="0CA6E7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68" w:type="pct"/>
            <w:tcBorders>
              <w:left w:val="single" w:color="auto" w:sz="4" w:space="0"/>
            </w:tcBorders>
            <w:vAlign w:val="center"/>
          </w:tcPr>
          <w:p w14:paraId="1AEE6C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16" w:type="pct"/>
            <w:tcBorders>
              <w:left w:val="single" w:color="auto" w:sz="4" w:space="0"/>
            </w:tcBorders>
            <w:vAlign w:val="center"/>
          </w:tcPr>
          <w:p w14:paraId="2B9EF68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r>
      <w:tr w14:paraId="789ACBD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continue"/>
            <w:vAlign w:val="center"/>
          </w:tcPr>
          <w:p w14:paraId="13D5B7E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Merge w:val="continue"/>
            <w:vAlign w:val="center"/>
          </w:tcPr>
          <w:p w14:paraId="439B82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75" w:type="pct"/>
            <w:vAlign w:val="center"/>
          </w:tcPr>
          <w:p w14:paraId="1472A6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二甲苯</w:t>
            </w:r>
          </w:p>
        </w:tc>
        <w:tc>
          <w:tcPr>
            <w:tcW w:w="395" w:type="pct"/>
            <w:tcBorders>
              <w:right w:val="single" w:color="auto" w:sz="4" w:space="0"/>
            </w:tcBorders>
            <w:vAlign w:val="center"/>
          </w:tcPr>
          <w:p w14:paraId="4A2291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75" w:type="pct"/>
            <w:tcBorders>
              <w:right w:val="single" w:color="auto" w:sz="4" w:space="0"/>
            </w:tcBorders>
            <w:vAlign w:val="center"/>
          </w:tcPr>
          <w:p w14:paraId="0C57C3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77" w:type="pct"/>
            <w:tcBorders>
              <w:left w:val="single" w:color="auto" w:sz="4" w:space="0"/>
              <w:right w:val="single" w:color="auto" w:sz="4" w:space="0"/>
            </w:tcBorders>
            <w:vAlign w:val="center"/>
          </w:tcPr>
          <w:p w14:paraId="5DC3A7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7" w:type="pct"/>
            <w:tcBorders>
              <w:left w:val="single" w:color="auto" w:sz="4" w:space="0"/>
              <w:right w:val="single" w:color="auto" w:sz="4" w:space="0"/>
            </w:tcBorders>
            <w:vAlign w:val="center"/>
          </w:tcPr>
          <w:p w14:paraId="0A662FD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75" w:type="pct"/>
            <w:tcBorders>
              <w:left w:val="single" w:color="auto" w:sz="4" w:space="0"/>
              <w:right w:val="single" w:color="auto" w:sz="4" w:space="0"/>
            </w:tcBorders>
            <w:vAlign w:val="center"/>
          </w:tcPr>
          <w:p w14:paraId="6CB41B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77" w:type="pct"/>
            <w:tcBorders>
              <w:left w:val="single" w:color="auto" w:sz="4" w:space="0"/>
              <w:right w:val="single" w:color="auto" w:sz="4" w:space="0"/>
            </w:tcBorders>
            <w:vAlign w:val="center"/>
          </w:tcPr>
          <w:p w14:paraId="6FADAC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468" w:type="pct"/>
            <w:tcBorders>
              <w:left w:val="single" w:color="auto" w:sz="4" w:space="0"/>
            </w:tcBorders>
            <w:vAlign w:val="center"/>
          </w:tcPr>
          <w:p w14:paraId="3E6D89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16" w:type="pct"/>
            <w:tcBorders>
              <w:left w:val="single" w:color="auto" w:sz="4" w:space="0"/>
            </w:tcBorders>
            <w:vAlign w:val="center"/>
          </w:tcPr>
          <w:p w14:paraId="3615DD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r>
      <w:tr w14:paraId="7062B58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1" w:type="pct"/>
            <w:vMerge w:val="continue"/>
            <w:vAlign w:val="center"/>
          </w:tcPr>
          <w:p w14:paraId="0D53BB7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4" w:type="pct"/>
            <w:vMerge w:val="continue"/>
            <w:vAlign w:val="center"/>
          </w:tcPr>
          <w:p w14:paraId="78A4D3A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75" w:type="pct"/>
            <w:vAlign w:val="center"/>
          </w:tcPr>
          <w:p w14:paraId="53A6C76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非甲烷总烃</w:t>
            </w:r>
          </w:p>
        </w:tc>
        <w:tc>
          <w:tcPr>
            <w:tcW w:w="395" w:type="pct"/>
            <w:tcBorders>
              <w:right w:val="single" w:color="auto" w:sz="4" w:space="0"/>
            </w:tcBorders>
            <w:vAlign w:val="center"/>
          </w:tcPr>
          <w:p w14:paraId="17895A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475" w:type="pct"/>
            <w:tcBorders>
              <w:right w:val="single" w:color="auto" w:sz="4" w:space="0"/>
            </w:tcBorders>
            <w:vAlign w:val="center"/>
          </w:tcPr>
          <w:p w14:paraId="79CDBBF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477" w:type="pct"/>
            <w:tcBorders>
              <w:left w:val="single" w:color="auto" w:sz="4" w:space="0"/>
              <w:right w:val="single" w:color="auto" w:sz="4" w:space="0"/>
            </w:tcBorders>
            <w:vAlign w:val="center"/>
          </w:tcPr>
          <w:p w14:paraId="776CE8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7" w:type="pct"/>
            <w:tcBorders>
              <w:left w:val="single" w:color="auto" w:sz="4" w:space="0"/>
              <w:right w:val="single" w:color="auto" w:sz="4" w:space="0"/>
            </w:tcBorders>
            <w:vAlign w:val="center"/>
          </w:tcPr>
          <w:p w14:paraId="61C9E6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475" w:type="pct"/>
            <w:tcBorders>
              <w:left w:val="single" w:color="auto" w:sz="4" w:space="0"/>
              <w:right w:val="single" w:color="auto" w:sz="4" w:space="0"/>
            </w:tcBorders>
            <w:vAlign w:val="center"/>
          </w:tcPr>
          <w:p w14:paraId="0FFAA2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477" w:type="pct"/>
            <w:tcBorders>
              <w:left w:val="single" w:color="auto" w:sz="4" w:space="0"/>
              <w:right w:val="single" w:color="auto" w:sz="4" w:space="0"/>
            </w:tcBorders>
            <w:vAlign w:val="center"/>
          </w:tcPr>
          <w:p w14:paraId="3664B9E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468" w:type="pct"/>
            <w:tcBorders>
              <w:left w:val="single" w:color="auto" w:sz="4" w:space="0"/>
            </w:tcBorders>
            <w:vAlign w:val="center"/>
          </w:tcPr>
          <w:p w14:paraId="09992F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w:t>
            </w:r>
          </w:p>
        </w:tc>
        <w:tc>
          <w:tcPr>
            <w:tcW w:w="416" w:type="pct"/>
            <w:tcBorders>
              <w:left w:val="single" w:color="auto" w:sz="4" w:space="0"/>
            </w:tcBorders>
            <w:vAlign w:val="center"/>
          </w:tcPr>
          <w:p w14:paraId="0972A8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r>
      <w:tr w14:paraId="0C96F1A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866" w:type="pct"/>
            <w:gridSpan w:val="2"/>
            <w:vMerge w:val="restart"/>
            <w:vAlign w:val="center"/>
          </w:tcPr>
          <w:p w14:paraId="522C67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厂界</w:t>
            </w:r>
          </w:p>
        </w:tc>
        <w:tc>
          <w:tcPr>
            <w:tcW w:w="475" w:type="pct"/>
            <w:vAlign w:val="center"/>
          </w:tcPr>
          <w:p w14:paraId="257288E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395" w:type="pct"/>
            <w:tcBorders>
              <w:right w:val="single" w:color="auto" w:sz="4" w:space="0"/>
            </w:tcBorders>
            <w:vAlign w:val="center"/>
          </w:tcPr>
          <w:p w14:paraId="248E58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5" w:type="pct"/>
            <w:tcBorders>
              <w:right w:val="single" w:color="auto" w:sz="4" w:space="0"/>
            </w:tcBorders>
            <w:vAlign w:val="center"/>
          </w:tcPr>
          <w:p w14:paraId="7044BB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77" w:type="pct"/>
            <w:tcBorders>
              <w:left w:val="single" w:color="auto" w:sz="4" w:space="0"/>
              <w:right w:val="single" w:color="auto" w:sz="4" w:space="0"/>
            </w:tcBorders>
            <w:vAlign w:val="center"/>
          </w:tcPr>
          <w:p w14:paraId="516EA9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77" w:type="pct"/>
            <w:tcBorders>
              <w:left w:val="single" w:color="auto" w:sz="4" w:space="0"/>
              <w:right w:val="single" w:color="auto" w:sz="4" w:space="0"/>
            </w:tcBorders>
            <w:vAlign w:val="center"/>
          </w:tcPr>
          <w:p w14:paraId="12C640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75" w:type="pct"/>
            <w:tcBorders>
              <w:left w:val="single" w:color="auto" w:sz="4" w:space="0"/>
              <w:right w:val="single" w:color="auto" w:sz="4" w:space="0"/>
            </w:tcBorders>
            <w:vAlign w:val="center"/>
          </w:tcPr>
          <w:p w14:paraId="63DC0FD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77" w:type="pct"/>
            <w:tcBorders>
              <w:left w:val="single" w:color="auto" w:sz="4" w:space="0"/>
              <w:right w:val="single" w:color="auto" w:sz="4" w:space="0"/>
            </w:tcBorders>
            <w:vAlign w:val="center"/>
          </w:tcPr>
          <w:p w14:paraId="4D525AD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68" w:type="pct"/>
            <w:tcBorders>
              <w:left w:val="single" w:color="auto" w:sz="4" w:space="0"/>
            </w:tcBorders>
            <w:vAlign w:val="center"/>
          </w:tcPr>
          <w:p w14:paraId="704D5B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16" w:type="pct"/>
            <w:tcBorders>
              <w:left w:val="single" w:color="auto" w:sz="4" w:space="0"/>
            </w:tcBorders>
            <w:vAlign w:val="center"/>
          </w:tcPr>
          <w:p w14:paraId="03045BB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411C523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PrEx>
        <w:trPr>
          <w:jc w:val="center"/>
        </w:trPr>
        <w:tc>
          <w:tcPr>
            <w:tcW w:w="866" w:type="pct"/>
            <w:gridSpan w:val="2"/>
            <w:vMerge w:val="continue"/>
            <w:vAlign w:val="center"/>
          </w:tcPr>
          <w:p w14:paraId="044055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75" w:type="pct"/>
            <w:vAlign w:val="center"/>
          </w:tcPr>
          <w:p w14:paraId="6C6568E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395" w:type="pct"/>
            <w:tcBorders>
              <w:right w:val="single" w:color="auto" w:sz="4" w:space="0"/>
            </w:tcBorders>
            <w:vAlign w:val="center"/>
          </w:tcPr>
          <w:p w14:paraId="68BC08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5" w:type="pct"/>
            <w:tcBorders>
              <w:right w:val="single" w:color="auto" w:sz="4" w:space="0"/>
            </w:tcBorders>
            <w:vAlign w:val="center"/>
          </w:tcPr>
          <w:p w14:paraId="4D7CCC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7" w:type="pct"/>
            <w:tcBorders>
              <w:left w:val="single" w:color="auto" w:sz="4" w:space="0"/>
              <w:right w:val="single" w:color="auto" w:sz="4" w:space="0"/>
            </w:tcBorders>
            <w:vAlign w:val="center"/>
          </w:tcPr>
          <w:p w14:paraId="381506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7" w:type="pct"/>
            <w:tcBorders>
              <w:left w:val="single" w:color="auto" w:sz="4" w:space="0"/>
              <w:right w:val="single" w:color="auto" w:sz="4" w:space="0"/>
            </w:tcBorders>
            <w:vAlign w:val="center"/>
          </w:tcPr>
          <w:p w14:paraId="419243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5" w:type="pct"/>
            <w:tcBorders>
              <w:left w:val="single" w:color="auto" w:sz="4" w:space="0"/>
              <w:right w:val="single" w:color="auto" w:sz="4" w:space="0"/>
            </w:tcBorders>
            <w:vAlign w:val="center"/>
          </w:tcPr>
          <w:p w14:paraId="4AA3E0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77" w:type="pct"/>
            <w:tcBorders>
              <w:left w:val="single" w:color="auto" w:sz="4" w:space="0"/>
              <w:right w:val="single" w:color="auto" w:sz="4" w:space="0"/>
            </w:tcBorders>
            <w:vAlign w:val="center"/>
          </w:tcPr>
          <w:p w14:paraId="46C522B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68" w:type="pct"/>
            <w:tcBorders>
              <w:left w:val="single" w:color="auto" w:sz="4" w:space="0"/>
            </w:tcBorders>
            <w:vAlign w:val="center"/>
          </w:tcPr>
          <w:p w14:paraId="5A29AEC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16" w:type="pct"/>
            <w:tcBorders>
              <w:left w:val="single" w:color="auto" w:sz="4" w:space="0"/>
            </w:tcBorders>
            <w:vAlign w:val="center"/>
          </w:tcPr>
          <w:p w14:paraId="719CF1D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r>
    </w:tbl>
    <w:p w14:paraId="5A57DE3D">
      <w:pPr>
        <w:spacing w:line="235" w:lineRule="auto"/>
        <w:jc w:val="center"/>
        <w:rPr>
          <w:rFonts w:ascii="Times New Roman" w:hAnsi="Times New Roman" w:cs="Times New Roman"/>
          <w:b/>
          <w:bCs/>
          <w:szCs w:val="32"/>
        </w:rPr>
      </w:pPr>
    </w:p>
    <w:p w14:paraId="2031DC5C">
      <w:pPr>
        <w:rPr>
          <w:rFonts w:ascii="Times New Roman" w:hAnsi="Times New Roman" w:cs="Times New Roman"/>
          <w:b/>
          <w:bCs/>
          <w:szCs w:val="32"/>
        </w:rPr>
      </w:pPr>
      <w:r>
        <w:rPr>
          <w:rFonts w:ascii="Times New Roman" w:hAnsi="Times New Roman" w:cs="Times New Roman"/>
          <w:b/>
          <w:bCs/>
          <w:szCs w:val="32"/>
        </w:rPr>
        <w:br w:type="page"/>
      </w:r>
    </w:p>
    <w:p w14:paraId="1F463E25">
      <w:pPr>
        <w:spacing w:line="235" w:lineRule="auto"/>
        <w:jc w:val="center"/>
        <w:rPr>
          <w:rFonts w:ascii="Times New Roman" w:hAnsi="Times New Roman" w:cs="Times New Roman"/>
          <w:b/>
          <w:bCs/>
          <w:szCs w:val="32"/>
        </w:rPr>
      </w:pPr>
    </w:p>
    <w:p w14:paraId="589DE6FB">
      <w:pPr>
        <w:spacing w:line="235" w:lineRule="auto"/>
        <w:jc w:val="center"/>
        <w:rPr>
          <w:rFonts w:ascii="Times New Roman" w:hAnsi="Times New Roman" w:cs="Times New Roman"/>
          <w:b/>
          <w:bCs/>
          <w:szCs w:val="32"/>
        </w:rPr>
      </w:pPr>
      <w:r>
        <w:rPr>
          <w:rFonts w:ascii="Times New Roman" w:hAnsi="Times New Roman" w:cs="Times New Roman"/>
          <w:b/>
          <w:bCs/>
          <w:szCs w:val="32"/>
        </w:rPr>
        <w:t>表5-14  大气污染物无组织排放浓度限值（焦化工序）</w:t>
      </w:r>
    </w:p>
    <w:p w14:paraId="76820C6C">
      <w:pPr>
        <w:jc w:val="right"/>
        <w:rPr>
          <w:rFonts w:ascii="Times New Roman" w:hAnsi="Times New Roman" w:cs="Times New Roman"/>
          <w:sz w:val="18"/>
          <w:szCs w:val="18"/>
        </w:rPr>
      </w:pPr>
      <w:r>
        <w:rPr>
          <w:rFonts w:ascii="Times New Roman" w:hAnsi="Times New Roman" w:cs="Times New Roman"/>
          <w:sz w:val="18"/>
          <w:szCs w:val="18"/>
        </w:rPr>
        <w:t>单位：mg/m</w:t>
      </w:r>
      <w:r>
        <w:rPr>
          <w:rFonts w:ascii="Times New Roman" w:hAnsi="Times New Roman" w:cs="Times New Roman"/>
          <w:sz w:val="18"/>
          <w:szCs w:val="18"/>
          <w:vertAlign w:val="superscript"/>
        </w:rPr>
        <w:t>3</w:t>
      </w:r>
      <w:r>
        <w:rPr>
          <w:rFonts w:ascii="Times New Roman" w:hAnsi="Times New Roman" w:cs="Times New Roman"/>
          <w:sz w:val="18"/>
          <w:szCs w:val="18"/>
        </w:rPr>
        <w:t>（苯并[a]芘除外）</w:t>
      </w:r>
    </w:p>
    <w:tbl>
      <w:tblPr>
        <w:tblStyle w:val="27"/>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937"/>
        <w:gridCol w:w="1251"/>
        <w:gridCol w:w="1522"/>
        <w:gridCol w:w="1245"/>
        <w:gridCol w:w="1248"/>
        <w:gridCol w:w="1385"/>
        <w:gridCol w:w="934"/>
      </w:tblGrid>
      <w:tr w14:paraId="61119A0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restart"/>
            <w:vAlign w:val="center"/>
          </w:tcPr>
          <w:p w14:paraId="1B700F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生产工序</w:t>
            </w:r>
          </w:p>
        </w:tc>
        <w:tc>
          <w:tcPr>
            <w:tcW w:w="734" w:type="pct"/>
            <w:vMerge w:val="restart"/>
            <w:vAlign w:val="center"/>
          </w:tcPr>
          <w:p w14:paraId="493D63F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生产工艺或设施</w:t>
            </w:r>
          </w:p>
        </w:tc>
        <w:tc>
          <w:tcPr>
            <w:tcW w:w="893" w:type="pct"/>
            <w:vMerge w:val="restart"/>
            <w:vAlign w:val="center"/>
          </w:tcPr>
          <w:p w14:paraId="1C2432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污染物项目</w:t>
            </w:r>
          </w:p>
        </w:tc>
        <w:tc>
          <w:tcPr>
            <w:tcW w:w="2825" w:type="pct"/>
            <w:gridSpan w:val="4"/>
            <w:vAlign w:val="center"/>
          </w:tcPr>
          <w:p w14:paraId="441FFF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排放浓度限值</w:t>
            </w:r>
          </w:p>
        </w:tc>
      </w:tr>
      <w:tr w14:paraId="56589E8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378825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2E56EE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Merge w:val="continue"/>
            <w:vAlign w:val="center"/>
          </w:tcPr>
          <w:p w14:paraId="01D086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1" w:type="pct"/>
            <w:tcBorders>
              <w:right w:val="single" w:color="auto" w:sz="4" w:space="0"/>
            </w:tcBorders>
            <w:vAlign w:val="center"/>
          </w:tcPr>
          <w:p w14:paraId="372830A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现行国标GB 16171.1-2024</w:t>
            </w:r>
          </w:p>
        </w:tc>
        <w:tc>
          <w:tcPr>
            <w:tcW w:w="732" w:type="pct"/>
            <w:tcBorders>
              <w:left w:val="single" w:color="auto" w:sz="4" w:space="0"/>
              <w:right w:val="single" w:color="auto" w:sz="4" w:space="0"/>
            </w:tcBorders>
            <w:vAlign w:val="center"/>
          </w:tcPr>
          <w:p w14:paraId="16CF847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河北省标准</w:t>
            </w:r>
          </w:p>
          <w:p w14:paraId="0C5623E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DB13/2863-2018</w:t>
            </w:r>
          </w:p>
        </w:tc>
        <w:tc>
          <w:tcPr>
            <w:tcW w:w="813" w:type="pct"/>
            <w:tcBorders>
              <w:left w:val="single" w:color="auto" w:sz="4" w:space="0"/>
              <w:right w:val="single" w:color="auto" w:sz="4" w:space="0"/>
            </w:tcBorders>
            <w:vAlign w:val="center"/>
          </w:tcPr>
          <w:p w14:paraId="5DD75ABE">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w:t>
            </w:r>
          </w:p>
          <w:p w14:paraId="60ABD4E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DB12/1120-2022</w:t>
            </w:r>
          </w:p>
        </w:tc>
        <w:tc>
          <w:tcPr>
            <w:tcW w:w="548" w:type="pct"/>
            <w:tcBorders>
              <w:left w:val="single" w:color="auto" w:sz="4" w:space="0"/>
            </w:tcBorders>
            <w:vAlign w:val="center"/>
          </w:tcPr>
          <w:p w14:paraId="3C833C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拟定</w:t>
            </w:r>
          </w:p>
          <w:p w14:paraId="528071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限值</w:t>
            </w:r>
          </w:p>
        </w:tc>
      </w:tr>
      <w:tr w14:paraId="5FF7E3C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restart"/>
            <w:vAlign w:val="center"/>
          </w:tcPr>
          <w:p w14:paraId="71DF1A5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焦化</w:t>
            </w:r>
          </w:p>
        </w:tc>
        <w:tc>
          <w:tcPr>
            <w:tcW w:w="734" w:type="pct"/>
            <w:vMerge w:val="restart"/>
            <w:vAlign w:val="center"/>
          </w:tcPr>
          <w:p w14:paraId="6061BA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厂界</w:t>
            </w:r>
          </w:p>
        </w:tc>
        <w:tc>
          <w:tcPr>
            <w:tcW w:w="893" w:type="pct"/>
            <w:vAlign w:val="center"/>
          </w:tcPr>
          <w:p w14:paraId="4FE8CFF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苯并[a]芘（</w:t>
            </w:r>
            <w:r>
              <w:rPr>
                <w:rFonts w:hint="eastAsia" w:ascii="Times New Roman" w:hAnsi="Times New Roman"/>
                <w:sz w:val="18"/>
                <w:szCs w:val="18"/>
              </w:rPr>
              <w:t>μ</w:t>
            </w:r>
            <w:r>
              <w:rPr>
                <w:rFonts w:hint="eastAsia" w:ascii="Times New Roman" w:hAnsi="Times New Roman" w:cs="Times New Roman"/>
                <w:color w:val="000000"/>
                <w:sz w:val="22"/>
                <w:szCs w:val="20"/>
              </w:rPr>
              <w:t>g/m</w:t>
            </w:r>
            <w:r>
              <w:rPr>
                <w:rFonts w:hint="eastAsia" w:ascii="Times New Roman" w:hAnsi="Times New Roman" w:cs="Times New Roman"/>
                <w:color w:val="000000"/>
                <w:sz w:val="22"/>
                <w:szCs w:val="20"/>
                <w:vertAlign w:val="superscript"/>
              </w:rPr>
              <w:t>3</w:t>
            </w:r>
            <w:r>
              <w:rPr>
                <w:rFonts w:hint="eastAsia" w:ascii="Times New Roman" w:hAnsi="Times New Roman" w:cs="Times New Roman"/>
                <w:color w:val="000000"/>
                <w:sz w:val="22"/>
                <w:szCs w:val="20"/>
              </w:rPr>
              <w:t>）</w:t>
            </w:r>
          </w:p>
        </w:tc>
        <w:tc>
          <w:tcPr>
            <w:tcW w:w="731" w:type="pct"/>
            <w:tcBorders>
              <w:right w:val="single" w:color="auto" w:sz="4" w:space="0"/>
            </w:tcBorders>
            <w:vAlign w:val="center"/>
          </w:tcPr>
          <w:p w14:paraId="337A39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732" w:type="pct"/>
            <w:tcBorders>
              <w:left w:val="single" w:color="auto" w:sz="4" w:space="0"/>
              <w:right w:val="single" w:color="auto" w:sz="4" w:space="0"/>
            </w:tcBorders>
            <w:vAlign w:val="center"/>
          </w:tcPr>
          <w:p w14:paraId="4B97E3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813" w:type="pct"/>
            <w:tcBorders>
              <w:left w:val="single" w:color="auto" w:sz="4" w:space="0"/>
              <w:right w:val="single" w:color="auto" w:sz="4" w:space="0"/>
            </w:tcBorders>
            <w:vAlign w:val="center"/>
          </w:tcPr>
          <w:p w14:paraId="6CBEEA1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548" w:type="pct"/>
            <w:tcBorders>
              <w:left w:val="single" w:color="auto" w:sz="4" w:space="0"/>
            </w:tcBorders>
            <w:vAlign w:val="center"/>
          </w:tcPr>
          <w:p w14:paraId="72902E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r>
      <w:tr w14:paraId="2BF7394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68D711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63807D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303FCC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氰化氢</w:t>
            </w:r>
          </w:p>
        </w:tc>
        <w:tc>
          <w:tcPr>
            <w:tcW w:w="731" w:type="pct"/>
            <w:tcBorders>
              <w:right w:val="single" w:color="auto" w:sz="4" w:space="0"/>
            </w:tcBorders>
            <w:vAlign w:val="center"/>
          </w:tcPr>
          <w:p w14:paraId="74B3BDB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c>
          <w:tcPr>
            <w:tcW w:w="732" w:type="pct"/>
            <w:tcBorders>
              <w:left w:val="single" w:color="auto" w:sz="4" w:space="0"/>
              <w:right w:val="single" w:color="auto" w:sz="4" w:space="0"/>
            </w:tcBorders>
            <w:vAlign w:val="center"/>
          </w:tcPr>
          <w:p w14:paraId="575124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0.024</w:t>
            </w:r>
          </w:p>
        </w:tc>
        <w:tc>
          <w:tcPr>
            <w:tcW w:w="813" w:type="pct"/>
            <w:tcBorders>
              <w:left w:val="single" w:color="auto" w:sz="4" w:space="0"/>
              <w:right w:val="single" w:color="auto" w:sz="4" w:space="0"/>
            </w:tcBorders>
            <w:vAlign w:val="center"/>
          </w:tcPr>
          <w:p w14:paraId="6B0101A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0.024</w:t>
            </w:r>
          </w:p>
        </w:tc>
        <w:tc>
          <w:tcPr>
            <w:tcW w:w="548" w:type="pct"/>
            <w:tcBorders>
              <w:left w:val="single" w:color="auto" w:sz="4" w:space="0"/>
            </w:tcBorders>
            <w:vAlign w:val="center"/>
          </w:tcPr>
          <w:p w14:paraId="20354D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r>
      <w:tr w14:paraId="4019092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26ED2C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268A131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30989D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w:t>
            </w:r>
          </w:p>
        </w:tc>
        <w:tc>
          <w:tcPr>
            <w:tcW w:w="731" w:type="pct"/>
            <w:tcBorders>
              <w:right w:val="single" w:color="auto" w:sz="4" w:space="0"/>
            </w:tcBorders>
            <w:vAlign w:val="center"/>
          </w:tcPr>
          <w:p w14:paraId="569C60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732" w:type="pct"/>
            <w:tcBorders>
              <w:left w:val="single" w:color="auto" w:sz="4" w:space="0"/>
              <w:right w:val="single" w:color="auto" w:sz="4" w:space="0"/>
            </w:tcBorders>
            <w:vAlign w:val="center"/>
          </w:tcPr>
          <w:p w14:paraId="05A6359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813" w:type="pct"/>
            <w:tcBorders>
              <w:left w:val="single" w:color="auto" w:sz="4" w:space="0"/>
              <w:right w:val="single" w:color="auto" w:sz="4" w:space="0"/>
            </w:tcBorders>
            <w:vAlign w:val="center"/>
          </w:tcPr>
          <w:p w14:paraId="6D2D84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548" w:type="pct"/>
            <w:tcBorders>
              <w:left w:val="single" w:color="auto" w:sz="4" w:space="0"/>
            </w:tcBorders>
            <w:vAlign w:val="center"/>
          </w:tcPr>
          <w:p w14:paraId="79D5AC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r>
      <w:tr w14:paraId="420C3F1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731242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6E5A29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24F513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酚类化合物</w:t>
            </w:r>
          </w:p>
        </w:tc>
        <w:tc>
          <w:tcPr>
            <w:tcW w:w="731" w:type="pct"/>
            <w:tcBorders>
              <w:right w:val="single" w:color="auto" w:sz="4" w:space="0"/>
            </w:tcBorders>
            <w:vAlign w:val="center"/>
          </w:tcPr>
          <w:p w14:paraId="4303590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c>
          <w:tcPr>
            <w:tcW w:w="732" w:type="pct"/>
            <w:tcBorders>
              <w:left w:val="single" w:color="auto" w:sz="4" w:space="0"/>
              <w:right w:val="single" w:color="auto" w:sz="4" w:space="0"/>
            </w:tcBorders>
            <w:vAlign w:val="center"/>
          </w:tcPr>
          <w:p w14:paraId="188741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c>
          <w:tcPr>
            <w:tcW w:w="813" w:type="pct"/>
            <w:tcBorders>
              <w:left w:val="single" w:color="auto" w:sz="4" w:space="0"/>
              <w:right w:val="single" w:color="auto" w:sz="4" w:space="0"/>
            </w:tcBorders>
            <w:vAlign w:val="center"/>
          </w:tcPr>
          <w:p w14:paraId="6ACEBF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c>
          <w:tcPr>
            <w:tcW w:w="548" w:type="pct"/>
            <w:tcBorders>
              <w:left w:val="single" w:color="auto" w:sz="4" w:space="0"/>
            </w:tcBorders>
            <w:vAlign w:val="center"/>
          </w:tcPr>
          <w:p w14:paraId="17204D8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r>
      <w:tr w14:paraId="188F949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0C206D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7648B1A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705CBB4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硫化氢</w:t>
            </w:r>
          </w:p>
        </w:tc>
        <w:tc>
          <w:tcPr>
            <w:tcW w:w="731" w:type="pct"/>
            <w:tcBorders>
              <w:right w:val="single" w:color="auto" w:sz="4" w:space="0"/>
            </w:tcBorders>
            <w:vAlign w:val="center"/>
          </w:tcPr>
          <w:p w14:paraId="27BBA1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732" w:type="pct"/>
            <w:tcBorders>
              <w:left w:val="single" w:color="auto" w:sz="4" w:space="0"/>
              <w:right w:val="single" w:color="auto" w:sz="4" w:space="0"/>
            </w:tcBorders>
            <w:vAlign w:val="center"/>
          </w:tcPr>
          <w:p w14:paraId="3BE6A2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813" w:type="pct"/>
            <w:tcBorders>
              <w:left w:val="single" w:color="auto" w:sz="4" w:space="0"/>
              <w:right w:val="single" w:color="auto" w:sz="4" w:space="0"/>
            </w:tcBorders>
            <w:vAlign w:val="center"/>
          </w:tcPr>
          <w:p w14:paraId="6752E25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548" w:type="pct"/>
            <w:tcBorders>
              <w:left w:val="single" w:color="auto" w:sz="4" w:space="0"/>
            </w:tcBorders>
            <w:vAlign w:val="center"/>
          </w:tcPr>
          <w:p w14:paraId="7F48AF3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r>
      <w:tr w14:paraId="37464B4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0F3DA90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382AC4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29AD578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731" w:type="pct"/>
            <w:tcBorders>
              <w:right w:val="single" w:color="auto" w:sz="4" w:space="0"/>
            </w:tcBorders>
            <w:vAlign w:val="center"/>
          </w:tcPr>
          <w:p w14:paraId="6E1253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732" w:type="pct"/>
            <w:tcBorders>
              <w:left w:val="single" w:color="auto" w:sz="4" w:space="0"/>
              <w:right w:val="single" w:color="auto" w:sz="4" w:space="0"/>
            </w:tcBorders>
            <w:vAlign w:val="center"/>
          </w:tcPr>
          <w:p w14:paraId="065E6E6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813" w:type="pct"/>
            <w:tcBorders>
              <w:left w:val="single" w:color="auto" w:sz="4" w:space="0"/>
              <w:right w:val="single" w:color="auto" w:sz="4" w:space="0"/>
            </w:tcBorders>
            <w:vAlign w:val="center"/>
          </w:tcPr>
          <w:p w14:paraId="652F940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548" w:type="pct"/>
            <w:tcBorders>
              <w:left w:val="single" w:color="auto" w:sz="4" w:space="0"/>
            </w:tcBorders>
            <w:vAlign w:val="center"/>
          </w:tcPr>
          <w:p w14:paraId="18F4CD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r>
      <w:tr w14:paraId="4A737B1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3162FFB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195FF3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320BB9B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非甲烷总烃</w:t>
            </w:r>
          </w:p>
        </w:tc>
        <w:tc>
          <w:tcPr>
            <w:tcW w:w="731" w:type="pct"/>
            <w:tcBorders>
              <w:right w:val="single" w:color="auto" w:sz="4" w:space="0"/>
            </w:tcBorders>
            <w:vAlign w:val="center"/>
          </w:tcPr>
          <w:p w14:paraId="190558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732" w:type="pct"/>
            <w:tcBorders>
              <w:left w:val="single" w:color="auto" w:sz="4" w:space="0"/>
              <w:right w:val="single" w:color="auto" w:sz="4" w:space="0"/>
            </w:tcBorders>
            <w:vAlign w:val="center"/>
          </w:tcPr>
          <w:p w14:paraId="341EF7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813" w:type="pct"/>
            <w:tcBorders>
              <w:left w:val="single" w:color="auto" w:sz="4" w:space="0"/>
              <w:right w:val="single" w:color="auto" w:sz="4" w:space="0"/>
            </w:tcBorders>
            <w:vAlign w:val="center"/>
          </w:tcPr>
          <w:p w14:paraId="2911C2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w:t>
            </w:r>
          </w:p>
        </w:tc>
        <w:tc>
          <w:tcPr>
            <w:tcW w:w="548" w:type="pct"/>
            <w:tcBorders>
              <w:left w:val="single" w:color="auto" w:sz="4" w:space="0"/>
            </w:tcBorders>
            <w:vAlign w:val="center"/>
          </w:tcPr>
          <w:p w14:paraId="7EB7369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w:t>
            </w:r>
          </w:p>
        </w:tc>
      </w:tr>
      <w:tr w14:paraId="5630103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2B09D2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restart"/>
            <w:vAlign w:val="center"/>
          </w:tcPr>
          <w:p w14:paraId="7D2B7FD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焦炉炉顶</w:t>
            </w:r>
          </w:p>
        </w:tc>
        <w:tc>
          <w:tcPr>
            <w:tcW w:w="893" w:type="pct"/>
            <w:vAlign w:val="center"/>
          </w:tcPr>
          <w:p w14:paraId="075CD7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731" w:type="pct"/>
            <w:tcBorders>
              <w:right w:val="single" w:color="auto" w:sz="4" w:space="0"/>
            </w:tcBorders>
            <w:vAlign w:val="center"/>
          </w:tcPr>
          <w:p w14:paraId="79A7FD5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732" w:type="pct"/>
            <w:tcBorders>
              <w:left w:val="single" w:color="auto" w:sz="4" w:space="0"/>
              <w:right w:val="single" w:color="auto" w:sz="4" w:space="0"/>
            </w:tcBorders>
            <w:vAlign w:val="center"/>
          </w:tcPr>
          <w:p w14:paraId="06EF0A4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813" w:type="pct"/>
            <w:tcBorders>
              <w:left w:val="single" w:color="auto" w:sz="4" w:space="0"/>
              <w:right w:val="single" w:color="auto" w:sz="4" w:space="0"/>
            </w:tcBorders>
            <w:vAlign w:val="center"/>
          </w:tcPr>
          <w:p w14:paraId="0F104F8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548" w:type="pct"/>
            <w:tcBorders>
              <w:left w:val="single" w:color="auto" w:sz="4" w:space="0"/>
            </w:tcBorders>
            <w:vAlign w:val="center"/>
          </w:tcPr>
          <w:p w14:paraId="5910FB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r>
      <w:tr w14:paraId="171667C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4F231D2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5E9D59E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115516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苯并[a]芘（</w:t>
            </w:r>
            <w:r>
              <w:rPr>
                <w:rFonts w:hint="eastAsia" w:ascii="Times New Roman" w:hAnsi="Times New Roman"/>
                <w:sz w:val="18"/>
                <w:szCs w:val="18"/>
              </w:rPr>
              <w:t>μ</w:t>
            </w:r>
            <w:r>
              <w:rPr>
                <w:rFonts w:hint="eastAsia" w:ascii="Times New Roman" w:hAnsi="Times New Roman" w:cs="Times New Roman"/>
                <w:color w:val="000000"/>
                <w:sz w:val="22"/>
                <w:szCs w:val="20"/>
              </w:rPr>
              <w:t>g/m</w:t>
            </w:r>
            <w:r>
              <w:rPr>
                <w:rFonts w:hint="eastAsia" w:ascii="Times New Roman" w:hAnsi="Times New Roman" w:cs="Times New Roman"/>
                <w:color w:val="000000"/>
                <w:sz w:val="22"/>
                <w:szCs w:val="20"/>
                <w:vertAlign w:val="superscript"/>
              </w:rPr>
              <w:t>3</w:t>
            </w:r>
            <w:r>
              <w:rPr>
                <w:rFonts w:hint="eastAsia" w:ascii="Times New Roman" w:hAnsi="Times New Roman" w:cs="Times New Roman"/>
                <w:color w:val="000000"/>
                <w:sz w:val="22"/>
                <w:szCs w:val="20"/>
              </w:rPr>
              <w:t>）</w:t>
            </w:r>
          </w:p>
        </w:tc>
        <w:tc>
          <w:tcPr>
            <w:tcW w:w="731" w:type="pct"/>
            <w:tcBorders>
              <w:right w:val="single" w:color="auto" w:sz="4" w:space="0"/>
            </w:tcBorders>
            <w:vAlign w:val="center"/>
          </w:tcPr>
          <w:p w14:paraId="3401B2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732" w:type="pct"/>
            <w:tcBorders>
              <w:left w:val="single" w:color="auto" w:sz="4" w:space="0"/>
              <w:right w:val="single" w:color="auto" w:sz="4" w:space="0"/>
            </w:tcBorders>
            <w:vAlign w:val="center"/>
          </w:tcPr>
          <w:p w14:paraId="12CA30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813" w:type="pct"/>
            <w:tcBorders>
              <w:left w:val="single" w:color="auto" w:sz="4" w:space="0"/>
              <w:right w:val="single" w:color="auto" w:sz="4" w:space="0"/>
            </w:tcBorders>
            <w:vAlign w:val="center"/>
          </w:tcPr>
          <w:p w14:paraId="4CED35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548" w:type="pct"/>
            <w:tcBorders>
              <w:left w:val="single" w:color="auto" w:sz="4" w:space="0"/>
            </w:tcBorders>
            <w:vAlign w:val="center"/>
          </w:tcPr>
          <w:p w14:paraId="5A8532F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r>
      <w:tr w14:paraId="234F965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444723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7B3CFB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745DD2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硫化氢</w:t>
            </w:r>
          </w:p>
        </w:tc>
        <w:tc>
          <w:tcPr>
            <w:tcW w:w="731" w:type="pct"/>
            <w:tcBorders>
              <w:right w:val="single" w:color="auto" w:sz="4" w:space="0"/>
            </w:tcBorders>
            <w:vAlign w:val="center"/>
          </w:tcPr>
          <w:p w14:paraId="15A2384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732" w:type="pct"/>
            <w:tcBorders>
              <w:left w:val="single" w:color="auto" w:sz="4" w:space="0"/>
              <w:right w:val="single" w:color="auto" w:sz="4" w:space="0"/>
            </w:tcBorders>
            <w:vAlign w:val="center"/>
          </w:tcPr>
          <w:p w14:paraId="4008B27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813" w:type="pct"/>
            <w:tcBorders>
              <w:left w:val="single" w:color="auto" w:sz="4" w:space="0"/>
              <w:right w:val="single" w:color="auto" w:sz="4" w:space="0"/>
            </w:tcBorders>
            <w:vAlign w:val="center"/>
          </w:tcPr>
          <w:p w14:paraId="3B8B3A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548" w:type="pct"/>
            <w:tcBorders>
              <w:left w:val="single" w:color="auto" w:sz="4" w:space="0"/>
            </w:tcBorders>
            <w:vAlign w:val="center"/>
          </w:tcPr>
          <w:p w14:paraId="438DCB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r>
      <w:tr w14:paraId="5880F32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32299F3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6E315A6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5F44E1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731" w:type="pct"/>
            <w:tcBorders>
              <w:right w:val="single" w:color="auto" w:sz="4" w:space="0"/>
            </w:tcBorders>
            <w:vAlign w:val="center"/>
          </w:tcPr>
          <w:p w14:paraId="314C70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732" w:type="pct"/>
            <w:tcBorders>
              <w:left w:val="single" w:color="auto" w:sz="4" w:space="0"/>
              <w:right w:val="single" w:color="auto" w:sz="4" w:space="0"/>
            </w:tcBorders>
            <w:vAlign w:val="center"/>
          </w:tcPr>
          <w:p w14:paraId="4B785A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813" w:type="pct"/>
            <w:tcBorders>
              <w:left w:val="single" w:color="auto" w:sz="4" w:space="0"/>
              <w:right w:val="single" w:color="auto" w:sz="4" w:space="0"/>
            </w:tcBorders>
            <w:vAlign w:val="center"/>
          </w:tcPr>
          <w:p w14:paraId="5F67945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548" w:type="pct"/>
            <w:tcBorders>
              <w:left w:val="single" w:color="auto" w:sz="4" w:space="0"/>
            </w:tcBorders>
            <w:vAlign w:val="center"/>
          </w:tcPr>
          <w:p w14:paraId="4A1E9D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r>
      <w:tr w14:paraId="2C2335C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49" w:type="pct"/>
            <w:vMerge w:val="continue"/>
            <w:vAlign w:val="center"/>
          </w:tcPr>
          <w:p w14:paraId="4FD04B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2B2740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3" w:type="pct"/>
            <w:vAlign w:val="center"/>
          </w:tcPr>
          <w:p w14:paraId="6B1A051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苯可溶物</w:t>
            </w:r>
          </w:p>
        </w:tc>
        <w:tc>
          <w:tcPr>
            <w:tcW w:w="731" w:type="pct"/>
            <w:tcBorders>
              <w:right w:val="single" w:color="auto" w:sz="4" w:space="0"/>
            </w:tcBorders>
            <w:vAlign w:val="center"/>
          </w:tcPr>
          <w:p w14:paraId="4FD0C0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732" w:type="pct"/>
            <w:tcBorders>
              <w:left w:val="single" w:color="auto" w:sz="4" w:space="0"/>
              <w:right w:val="single" w:color="auto" w:sz="4" w:space="0"/>
            </w:tcBorders>
            <w:vAlign w:val="center"/>
          </w:tcPr>
          <w:p w14:paraId="75DA46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813" w:type="pct"/>
            <w:tcBorders>
              <w:left w:val="single" w:color="auto" w:sz="4" w:space="0"/>
              <w:right w:val="single" w:color="auto" w:sz="4" w:space="0"/>
            </w:tcBorders>
            <w:vAlign w:val="center"/>
          </w:tcPr>
          <w:p w14:paraId="6FC8B1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548" w:type="pct"/>
            <w:tcBorders>
              <w:left w:val="single" w:color="auto" w:sz="4" w:space="0"/>
            </w:tcBorders>
            <w:vAlign w:val="center"/>
          </w:tcPr>
          <w:p w14:paraId="51CE478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r>
    </w:tbl>
    <w:p w14:paraId="7A51032F">
      <w:pPr>
        <w:pStyle w:val="35"/>
        <w:jc w:val="both"/>
        <w:rPr>
          <w:rFonts w:cs="Times New Roman"/>
        </w:rPr>
      </w:pPr>
      <w:r>
        <w:rPr>
          <w:rFonts w:cs="Times New Roman"/>
        </w:rPr>
        <w:t>由表5-13可知，河北省、山东省、河南省、山西省、天津市</w:t>
      </w:r>
      <w:r>
        <w:rPr>
          <w:rFonts w:hint="eastAsia" w:cs="Times New Roman"/>
        </w:rPr>
        <w:t>、辽宁省</w:t>
      </w:r>
      <w:r>
        <w:rPr>
          <w:rFonts w:cs="Times New Roman"/>
        </w:rPr>
        <w:t>地方排放标准对于钢铁工序</w:t>
      </w:r>
      <w:r>
        <w:rPr>
          <w:rFonts w:hint="eastAsia" w:cs="Times New Roman"/>
        </w:rPr>
        <w:t>（含烧结）</w:t>
      </w:r>
      <w:r>
        <w:rPr>
          <w:rFonts w:cs="Times New Roman"/>
        </w:rPr>
        <w:t>无组织排放限值与现行国标限值要求基本接近。因此，对于</w:t>
      </w:r>
      <w:r>
        <w:rPr>
          <w:rFonts w:hint="eastAsia" w:cs="Times New Roman"/>
        </w:rPr>
        <w:t>钢铁工序（含烧结）</w:t>
      </w:r>
      <w:r>
        <w:rPr>
          <w:rFonts w:cs="Times New Roman"/>
        </w:rPr>
        <w:t>及厂界与现行国标、地方标准限值基本保持一致</w:t>
      </w:r>
      <w:r>
        <w:rPr>
          <w:rFonts w:hint="eastAsia" w:cs="Times New Roman"/>
        </w:rPr>
        <w:t>，按照其中最严格的要求取值</w:t>
      </w:r>
      <w:r>
        <w:rPr>
          <w:rFonts w:cs="Times New Roman"/>
        </w:rPr>
        <w:t>。</w:t>
      </w:r>
    </w:p>
    <w:p w14:paraId="47D726A9">
      <w:pPr>
        <w:pStyle w:val="35"/>
        <w:jc w:val="both"/>
        <w:rPr>
          <w:rFonts w:cs="Times New Roman"/>
        </w:rPr>
      </w:pPr>
      <w:r>
        <w:rPr>
          <w:rFonts w:cs="Times New Roman"/>
        </w:rPr>
        <w:t>由表5-14可知，河北省、天津市地方排放标准对于焦化厂界及焦炉炉顶无组织排放限值与现行国标限值要求</w:t>
      </w:r>
      <w:r>
        <w:rPr>
          <w:rFonts w:hint="eastAsia" w:cs="Times New Roman"/>
        </w:rPr>
        <w:t>也</w:t>
      </w:r>
      <w:r>
        <w:rPr>
          <w:rFonts w:cs="Times New Roman"/>
        </w:rPr>
        <w:t>基本接近。</w:t>
      </w:r>
      <w:r>
        <w:rPr>
          <w:rFonts w:hint="eastAsia" w:cs="Times New Roman"/>
        </w:rPr>
        <w:t>因此，对于焦化工序的无组织排放限值也与现行国标、地方标准基本保持一致，按照其中最严格的要求取值。</w:t>
      </w:r>
    </w:p>
    <w:p w14:paraId="34F57F56">
      <w:pPr>
        <w:pStyle w:val="37"/>
        <w:spacing w:before="156"/>
        <w:ind w:left="0"/>
      </w:pPr>
      <w:bookmarkStart w:id="126" w:name="_Toc217058310"/>
      <w:r>
        <w:t>5.3标准的其他管理规定</w:t>
      </w:r>
      <w:bookmarkEnd w:id="126"/>
    </w:p>
    <w:p w14:paraId="1ED1F3F5">
      <w:pPr>
        <w:pStyle w:val="35"/>
        <w:rPr>
          <w:rFonts w:cs="Times New Roman"/>
        </w:rPr>
      </w:pPr>
      <w:r>
        <w:rPr>
          <w:rFonts w:cs="Times New Roman"/>
          <w:b/>
        </w:rPr>
        <w:t>5.3.1</w:t>
      </w:r>
      <w:r>
        <w:rPr>
          <w:rFonts w:cs="Times New Roman"/>
        </w:rPr>
        <w:t xml:space="preserve"> </w:t>
      </w:r>
      <w:r>
        <w:rPr>
          <w:rFonts w:cs="Times New Roman"/>
          <w:b/>
        </w:rPr>
        <w:t>增加了对VOCs燃烧废气管控要求</w:t>
      </w:r>
    </w:p>
    <w:p w14:paraId="0E7F5517">
      <w:pPr>
        <w:pStyle w:val="35"/>
        <w:widowControl w:val="0"/>
        <w:jc w:val="both"/>
        <w:rPr>
          <w:rFonts w:cs="Times New Roman"/>
        </w:rPr>
      </w:pPr>
      <w:r>
        <w:rPr>
          <w:rFonts w:cs="Times New Roman"/>
        </w:rPr>
        <w:t>VOCs燃烧（焚烧、氧化）装置除满足标准表1的大气污染物排放要求外，还需对排放烟气中的二氧化硫、氮氧化物进行控制，达到本标准中表3规定的限值</w:t>
      </w:r>
      <w:r>
        <w:rPr>
          <w:rFonts w:hint="eastAsia" w:cs="Times New Roman"/>
        </w:rPr>
        <w:t>，表3限值参照《大气污染物综合排放标准》（D</w:t>
      </w:r>
      <w:r>
        <w:rPr>
          <w:rFonts w:cs="Times New Roman"/>
        </w:rPr>
        <w:t>B31/933-2025</w:t>
      </w:r>
      <w:r>
        <w:rPr>
          <w:rFonts w:hint="eastAsia" w:cs="Times New Roman"/>
        </w:rPr>
        <w:t>）废气热氧化处理装置排放限值确定</w:t>
      </w:r>
      <w:r>
        <w:rPr>
          <w:rFonts w:cs="Times New Roman"/>
        </w:rPr>
        <w:t>。利用符合VOCs燃烧（焚烧、氧化）条件和安全要求的锅炉、工业炉窑（除焦炉外）、固体废物焚烧炉焚烧处理有机废气的，还应满足相应排放标准的控制要求；利用焦炉焚烧处理有机废气的，应满足表1中焦炉烟囱的控制要求。</w:t>
      </w:r>
    </w:p>
    <w:p w14:paraId="3D02D17A">
      <w:pPr>
        <w:pStyle w:val="35"/>
        <w:widowControl w:val="0"/>
        <w:jc w:val="both"/>
        <w:rPr>
          <w:rFonts w:cs="Times New Roman"/>
        </w:rPr>
      </w:pPr>
      <w:r>
        <w:rPr>
          <w:rFonts w:cs="Times New Roman"/>
        </w:rPr>
        <w:t>进入VOCs燃烧（焚烧、氧化）装置的废气需要补充空气进行燃烧、氧化反应的，排气筒中实测大气污染物排放浓度，应按换算为基准含氧量为3%的大气污染物基准排放浓度。利用锅炉、焦炉及其他工业炉窑、固体废物焚烧炉焚烧处理有机废气的，烟气基准含氧量按其排放标准规定执行。进入VOCs燃烧（焚烧、氧化）装置中废气含氧量可满足自身燃烧、氧化反应需要，不需另外补充空气的，或仅燃烧器需要补充空气助燃的，以实测质量浓度作为达标判定依据，但装置出口烟气含氧量不得高于装置进口废气含氧量。吸附、吸收、冷凝、生物、膜分离等其他VOCs处理设施，以实测质量浓度作为达标判定依据，不得稀释排放。</w:t>
      </w:r>
    </w:p>
    <w:p w14:paraId="72D1CE34">
      <w:pPr>
        <w:pStyle w:val="35"/>
        <w:jc w:val="both"/>
        <w:rPr>
          <w:rFonts w:cs="Times New Roman"/>
        </w:rPr>
      </w:pPr>
      <w:r>
        <w:rPr>
          <w:rFonts w:cs="Times New Roman"/>
          <w:b/>
        </w:rPr>
        <w:t>5.3.2</w:t>
      </w:r>
      <w:r>
        <w:rPr>
          <w:rFonts w:cs="Times New Roman"/>
        </w:rPr>
        <w:t xml:space="preserve"> </w:t>
      </w:r>
      <w:r>
        <w:rPr>
          <w:rFonts w:cs="Times New Roman"/>
          <w:b/>
        </w:rPr>
        <w:t>增加了对废气治理设施与生产设施同步运行要求</w:t>
      </w:r>
    </w:p>
    <w:p w14:paraId="29FBC79B">
      <w:pPr>
        <w:pStyle w:val="35"/>
        <w:widowControl w:val="0"/>
        <w:jc w:val="both"/>
        <w:rPr>
          <w:rFonts w:cs="Times New Roman"/>
        </w:rPr>
      </w:pPr>
      <w:r>
        <w:rPr>
          <w:rFonts w:cs="Times New Roman"/>
        </w:rPr>
        <w:t>废气治理设施应与生产工艺设备同步运行。废气治理设施发生故障或检修时，对应的生产工艺设备应停止运行，待排除故障或检修完毕后同步投入使用；生产工艺设备不能停止运行或不能及时停止运行的，应设置废气应急处理设施或采取其他替代措施。</w:t>
      </w:r>
    </w:p>
    <w:p w14:paraId="4609010C">
      <w:pPr>
        <w:pStyle w:val="35"/>
        <w:rPr>
          <w:rFonts w:cs="Times New Roman"/>
        </w:rPr>
      </w:pPr>
      <w:r>
        <w:rPr>
          <w:rFonts w:cs="Times New Roman"/>
          <w:b/>
        </w:rPr>
        <w:t>5.3.3</w:t>
      </w:r>
      <w:r>
        <w:rPr>
          <w:rFonts w:cs="Times New Roman"/>
        </w:rPr>
        <w:t xml:space="preserve"> </w:t>
      </w:r>
      <w:r>
        <w:rPr>
          <w:rFonts w:cs="Times New Roman"/>
          <w:b/>
        </w:rPr>
        <w:t>增加了排气筒高度要求</w:t>
      </w:r>
    </w:p>
    <w:p w14:paraId="10553F1E">
      <w:pPr>
        <w:pStyle w:val="35"/>
        <w:widowControl w:val="0"/>
        <w:jc w:val="both"/>
        <w:rPr>
          <w:rFonts w:cs="Times New Roman"/>
        </w:rPr>
      </w:pPr>
      <w:r>
        <w:rPr>
          <w:rFonts w:cs="Times New Roman"/>
        </w:rPr>
        <w:t>排放氰化氢的排气筒高度不低于25 m，其他车间或生产设施排气筒高度应不低于15 m（因安全考虑或有特殊工艺要求的除外），具体高度以及与周围建筑物的相对高度关系应根据环境影响评价文件确定。</w:t>
      </w:r>
    </w:p>
    <w:p w14:paraId="70BF47D7">
      <w:pPr>
        <w:pStyle w:val="37"/>
        <w:spacing w:before="156"/>
        <w:ind w:left="0"/>
        <w:jc w:val="both"/>
      </w:pPr>
      <w:bookmarkStart w:id="127" w:name="_Toc217058311"/>
      <w:r>
        <w:t>5.4 污染物监测要求</w:t>
      </w:r>
      <w:bookmarkEnd w:id="127"/>
    </w:p>
    <w:p w14:paraId="73EC5699">
      <w:pPr>
        <w:pStyle w:val="43"/>
        <w:spacing w:line="240" w:lineRule="auto"/>
        <w:ind w:firstLine="0" w:firstLineChars="0"/>
        <w:rPr>
          <w:rFonts w:eastAsia="宋体" w:cs="Times New Roman"/>
        </w:rPr>
      </w:pPr>
      <w:bookmarkStart w:id="128" w:name="_Toc511380545"/>
      <w:bookmarkStart w:id="129" w:name="_Toc185784348"/>
      <w:bookmarkStart w:id="130" w:name="_Toc185779073"/>
      <w:bookmarkStart w:id="131" w:name="_Toc185779009"/>
      <w:bookmarkStart w:id="132" w:name="_Toc185781638"/>
      <w:bookmarkStart w:id="133" w:name="_Toc217058312"/>
      <w:r>
        <w:rPr>
          <w:rFonts w:eastAsia="宋体" w:cs="Times New Roman"/>
        </w:rPr>
        <w:t>5.4.</w:t>
      </w:r>
      <w:bookmarkEnd w:id="128"/>
      <w:r>
        <w:rPr>
          <w:rFonts w:eastAsia="宋体" w:cs="Times New Roman"/>
        </w:rPr>
        <w:t>1监测</w:t>
      </w:r>
      <w:r>
        <w:rPr>
          <w:rFonts w:hint="eastAsia" w:eastAsia="宋体" w:cs="Times New Roman"/>
        </w:rPr>
        <w:t>一般</w:t>
      </w:r>
      <w:r>
        <w:rPr>
          <w:rFonts w:eastAsia="宋体" w:cs="Times New Roman"/>
        </w:rPr>
        <w:t>要求</w:t>
      </w:r>
      <w:bookmarkEnd w:id="129"/>
      <w:bookmarkEnd w:id="130"/>
      <w:bookmarkEnd w:id="131"/>
      <w:bookmarkEnd w:id="132"/>
      <w:bookmarkEnd w:id="133"/>
    </w:p>
    <w:p w14:paraId="1499DA75">
      <w:pPr>
        <w:pStyle w:val="35"/>
        <w:widowControl w:val="0"/>
        <w:jc w:val="both"/>
        <w:rPr>
          <w:rFonts w:cs="Times New Roman"/>
        </w:rPr>
      </w:pPr>
      <w:r>
        <w:rPr>
          <w:rFonts w:cs="Times New Roman"/>
        </w:rPr>
        <w:t>（1）企业应按照有关法律、《排污许可管理办法》、HJ 819、HJ 846、HJ 854、HJ 878和《企业环境信息依法披露管理方法》等规定，建立企业自行监测制度，制定自行监测方案，对大气污染物排放状况及其周边环境质量的影响开展自行监测，保存原始监测记录不少于5年，如实公开自行监测结果。</w:t>
      </w:r>
    </w:p>
    <w:p w14:paraId="3BF50935">
      <w:pPr>
        <w:pStyle w:val="35"/>
        <w:widowControl w:val="0"/>
        <w:jc w:val="both"/>
        <w:rPr>
          <w:rFonts w:cs="Times New Roman"/>
        </w:rPr>
      </w:pPr>
      <w:r>
        <w:rPr>
          <w:rFonts w:cs="Times New Roman"/>
        </w:rPr>
        <w:t>（2）企业应按照有关法律和《污染源自动监控管理办法》、HJ 819、HJ 846、HJ 854、HJ 878等规定要求安装大气污染物连续监测系统。大气污染物连续监测系统安装、调试、验收、运行及管理按照HJ 75、HJ 1286以及其他国家和本市的有关规定执行。</w:t>
      </w:r>
    </w:p>
    <w:p w14:paraId="4D67CFDA">
      <w:pPr>
        <w:pStyle w:val="35"/>
        <w:widowControl w:val="0"/>
        <w:jc w:val="both"/>
        <w:rPr>
          <w:rFonts w:cs="Times New Roman"/>
        </w:rPr>
      </w:pPr>
      <w:r>
        <w:rPr>
          <w:rFonts w:cs="Times New Roman"/>
        </w:rPr>
        <w:t>（3）企业应按照环境监测管理规定和技术规范的要求，设计、建设、维护永久性采样口、采样测试平台和排放口标志。采样口和采样平台应该符合HJ 1405的相关要求。</w:t>
      </w:r>
    </w:p>
    <w:p w14:paraId="189DFE74">
      <w:pPr>
        <w:pStyle w:val="35"/>
        <w:widowControl w:val="0"/>
        <w:jc w:val="both"/>
        <w:rPr>
          <w:rFonts w:cs="Times New Roman"/>
        </w:rPr>
      </w:pPr>
      <w:r>
        <w:rPr>
          <w:rFonts w:cs="Times New Roman"/>
        </w:rPr>
        <w:t>（4）大气污染物监测应在规定的监控位置进行，有废气处理设施的，应在处理设施后监测。</w:t>
      </w:r>
    </w:p>
    <w:p w14:paraId="30EEFF4F">
      <w:pPr>
        <w:pStyle w:val="35"/>
        <w:widowControl w:val="0"/>
        <w:jc w:val="both"/>
        <w:rPr>
          <w:rFonts w:cs="Times New Roman"/>
        </w:rPr>
      </w:pPr>
      <w:r>
        <w:rPr>
          <w:rFonts w:cs="Times New Roman"/>
        </w:rPr>
        <w:t>（5）焦炉的热备烟囱、脱硫脱硝备用设施烟囱、应急排放通道应安装大气污染物排放自动监控设备；VOCs废气应急排放通道应安装流量计，记录阀门开启状况。大气污染物排放自动监控设备应与生态环境主管部门联网。正常运行时不应通过应急排放通道、焦炉热备烟囱排放；当废气处理设施非正常运行，为保证安全生产确需使用应急排放通道、焦炉热备烟囱排放的，企业应及时向辖区生态环境主管部门报告，并及时采取修复措施。</w:t>
      </w:r>
    </w:p>
    <w:p w14:paraId="278747CB">
      <w:pPr>
        <w:pStyle w:val="43"/>
        <w:spacing w:line="240" w:lineRule="auto"/>
        <w:ind w:firstLine="0" w:firstLineChars="0"/>
        <w:rPr>
          <w:rFonts w:eastAsia="宋体" w:cs="Times New Roman"/>
        </w:rPr>
      </w:pPr>
      <w:bookmarkStart w:id="134" w:name="_Toc217058313"/>
      <w:r>
        <w:rPr>
          <w:rFonts w:eastAsia="宋体" w:cs="Times New Roman"/>
        </w:rPr>
        <w:t>5.4.2监测</w:t>
      </w:r>
      <w:r>
        <w:rPr>
          <w:rFonts w:hint="eastAsia" w:eastAsia="宋体" w:cs="Times New Roman"/>
        </w:rPr>
        <w:t>采样与分析方法</w:t>
      </w:r>
      <w:bookmarkEnd w:id="134"/>
    </w:p>
    <w:p w14:paraId="6FDB490D">
      <w:pPr>
        <w:pStyle w:val="35"/>
        <w:widowControl w:val="0"/>
        <w:jc w:val="both"/>
        <w:rPr>
          <w:rFonts w:cs="Times New Roman"/>
        </w:rPr>
      </w:pPr>
      <w:r>
        <w:rPr>
          <w:rFonts w:cs="Times New Roman"/>
        </w:rPr>
        <w:t>（1）</w:t>
      </w:r>
      <w:r>
        <w:rPr>
          <w:rFonts w:hint="eastAsia" w:cs="Times New Roman"/>
        </w:rPr>
        <w:t>排气筒中大气污染物的监测采样应按</w:t>
      </w:r>
      <w:r>
        <w:rPr>
          <w:rFonts w:cs="Times New Roman"/>
        </w:rPr>
        <w:t>GB/T 16157、HJ/T 397、HJ 75、HJ 1286的规定执行。对于装煤、推（出）焦、干法熄焦、储罐呼吸、出铁场、热处理炉等排放强度周期性波动的污染源，污染物排放监测时段应涵盖其排放强度大的时段。</w:t>
      </w:r>
    </w:p>
    <w:p w14:paraId="7F3AF90C">
      <w:pPr>
        <w:pStyle w:val="35"/>
        <w:widowControl w:val="0"/>
        <w:jc w:val="both"/>
        <w:rPr>
          <w:rFonts w:cs="Times New Roman"/>
        </w:rPr>
      </w:pPr>
      <w:r>
        <w:rPr>
          <w:rFonts w:cs="Times New Roman"/>
        </w:rPr>
        <w:t>（2）</w:t>
      </w:r>
      <w:r>
        <w:rPr>
          <w:rFonts w:hint="eastAsia" w:cs="Times New Roman"/>
        </w:rPr>
        <w:t>烧结、球团、炼铁、炼钢、轧钢工序厂区内大气污染物无组织排放的采样点设在生产厂房门窗、屋顶、气楼等排放口处，并选浓度最大值。若无组织排放源露天或有顶无围墙，监测点应选在排放源边界下风向</w:t>
      </w:r>
      <w:r>
        <w:rPr>
          <w:rFonts w:cs="Times New Roman"/>
        </w:rPr>
        <w:t>5m内，距离地面1.5m以上位置处进行监测，并选浓度最大值。</w:t>
      </w:r>
    </w:p>
    <w:p w14:paraId="6C236B1D">
      <w:pPr>
        <w:pStyle w:val="35"/>
        <w:widowControl w:val="0"/>
        <w:jc w:val="both"/>
        <w:rPr>
          <w:rFonts w:cs="Times New Roman"/>
        </w:rPr>
      </w:pPr>
      <w:r>
        <w:rPr>
          <w:rFonts w:cs="Times New Roman"/>
        </w:rPr>
        <w:t>（3）焦炉炉顶无组织排放的采样点设在每座焦炉第一孔和最末孔炭化室上方机侧、焦侧，不影响炉顶车辆通行的位置，设置4个测点。</w:t>
      </w:r>
    </w:p>
    <w:p w14:paraId="3202E44C">
      <w:pPr>
        <w:pStyle w:val="35"/>
        <w:widowControl w:val="0"/>
        <w:jc w:val="both"/>
        <w:rPr>
          <w:rFonts w:cs="Times New Roman"/>
        </w:rPr>
      </w:pPr>
      <w:r>
        <w:rPr>
          <w:rFonts w:cs="Times New Roman"/>
        </w:rPr>
        <w:t>（4）焦化工序厂区内颗粒物无组织排放采样点设在煤场、焦场、焦炉等区域边界下风向5m内，距离地面1.5m以上位置处；焦化工序厂区内非甲烷总烃无组织排放采样点设在焦炉、煤气净化、库区、生产废水处理等区域边界下风向1m内，距离地面1.5m以上位置处。</w:t>
      </w:r>
    </w:p>
    <w:p w14:paraId="7D8A569A">
      <w:pPr>
        <w:pStyle w:val="35"/>
        <w:widowControl w:val="0"/>
        <w:jc w:val="both"/>
        <w:rPr>
          <w:rFonts w:cs="Times New Roman"/>
        </w:rPr>
      </w:pPr>
      <w:r>
        <w:rPr>
          <w:rFonts w:cs="Times New Roman"/>
        </w:rPr>
        <w:t>（5）无组织排放监控点的采样，采用任何连续1h的采样计平均值，或在任何1h内，以等时间间隔采集3~4个样品计平均值。焦炉炉顶监测应在正常工况下采样，颗粒物、苯并[a]芘和苯可溶物监测频次为每天采样3次，每次连续采样4 h；硫化氢、氨监测频次为每天采样3次，每次连续采样30 min。炉顶监测结果以所测点位中最高值计。焦化工序厂区内非甲烷总烃任意一次浓度值的监测，按便携式监测仪器相关监测技术规定执行。</w:t>
      </w:r>
    </w:p>
    <w:p w14:paraId="6F1C4659">
      <w:pPr>
        <w:pStyle w:val="35"/>
        <w:widowControl w:val="0"/>
        <w:jc w:val="both"/>
        <w:rPr>
          <w:rFonts w:cs="Times New Roman"/>
        </w:rPr>
      </w:pPr>
      <w:r>
        <w:rPr>
          <w:rFonts w:cs="Times New Roman"/>
        </w:rPr>
        <w:t>（6）企业边界无组织排放的监测采样应按H/T 55的规定执行。</w:t>
      </w:r>
    </w:p>
    <w:p w14:paraId="65856D21">
      <w:pPr>
        <w:pStyle w:val="35"/>
        <w:widowControl w:val="0"/>
        <w:jc w:val="both"/>
        <w:rPr>
          <w:rFonts w:cs="Times New Roman"/>
        </w:rPr>
      </w:pPr>
      <w:r>
        <w:rPr>
          <w:rFonts w:hint="eastAsia" w:cs="Times New Roman"/>
        </w:rPr>
        <w:t>（7）</w:t>
      </w:r>
      <w:r>
        <w:rPr>
          <w:rFonts w:cs="Times New Roman"/>
        </w:rPr>
        <w:t>对钢铁工业大气污染物排放的测定采用表5-33所列的方法标准。除表5-33所列的方法标准外，本标准实施后国家发布的其他环境监测方法标准，如适用性满足要求，同样适用于本标准相应污染物的监测。</w:t>
      </w:r>
    </w:p>
    <w:p w14:paraId="36445BAC">
      <w:pPr>
        <w:spacing w:line="235" w:lineRule="auto"/>
        <w:jc w:val="center"/>
        <w:rPr>
          <w:rFonts w:ascii="Times New Roman" w:hAnsi="Times New Roman" w:cs="Times New Roman"/>
          <w:b/>
          <w:bCs/>
          <w:szCs w:val="32"/>
        </w:rPr>
      </w:pPr>
      <w:r>
        <w:rPr>
          <w:rFonts w:ascii="Times New Roman" w:hAnsi="Times New Roman" w:cs="Times New Roman"/>
          <w:b/>
          <w:bCs/>
          <w:szCs w:val="32"/>
        </w:rPr>
        <w:t>表5-33 钢铁企业大气污染物测定方法标准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396"/>
        <w:gridCol w:w="5067"/>
        <w:gridCol w:w="1415"/>
      </w:tblGrid>
      <w:tr w14:paraId="0A3F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378" w:type="pct"/>
            <w:vAlign w:val="center"/>
          </w:tcPr>
          <w:p w14:paraId="677B799E">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序号</w:t>
            </w:r>
          </w:p>
        </w:tc>
        <w:tc>
          <w:tcPr>
            <w:tcW w:w="819" w:type="pct"/>
            <w:vAlign w:val="center"/>
          </w:tcPr>
          <w:p w14:paraId="67B62B5B">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污染物项目</w:t>
            </w:r>
          </w:p>
        </w:tc>
        <w:tc>
          <w:tcPr>
            <w:tcW w:w="2973" w:type="pct"/>
            <w:vAlign w:val="center"/>
          </w:tcPr>
          <w:p w14:paraId="7CC52AA4">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方法标准名称</w:t>
            </w:r>
          </w:p>
        </w:tc>
        <w:tc>
          <w:tcPr>
            <w:tcW w:w="830" w:type="pct"/>
            <w:vAlign w:val="center"/>
          </w:tcPr>
          <w:p w14:paraId="331D817A">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方法标准编号</w:t>
            </w:r>
          </w:p>
        </w:tc>
      </w:tr>
      <w:tr w14:paraId="18CD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top w:val="single" w:color="auto" w:sz="4" w:space="0"/>
              <w:left w:val="single" w:color="auto" w:sz="4" w:space="0"/>
              <w:right w:val="single" w:color="auto" w:sz="4" w:space="0"/>
            </w:tcBorders>
            <w:vAlign w:val="center"/>
          </w:tcPr>
          <w:p w14:paraId="4121140D">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w:t>
            </w:r>
          </w:p>
        </w:tc>
        <w:tc>
          <w:tcPr>
            <w:tcW w:w="819" w:type="pct"/>
            <w:vMerge w:val="restart"/>
            <w:tcBorders>
              <w:top w:val="single" w:color="auto" w:sz="4" w:space="0"/>
              <w:left w:val="single" w:color="auto" w:sz="4" w:space="0"/>
              <w:right w:val="single" w:color="auto" w:sz="4" w:space="0"/>
            </w:tcBorders>
            <w:vAlign w:val="center"/>
          </w:tcPr>
          <w:p w14:paraId="4C95340A">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颗粒物</w:t>
            </w:r>
          </w:p>
        </w:tc>
        <w:tc>
          <w:tcPr>
            <w:tcW w:w="2973" w:type="pct"/>
            <w:tcBorders>
              <w:top w:val="single" w:color="auto" w:sz="4" w:space="0"/>
              <w:left w:val="single" w:color="auto" w:sz="4" w:space="0"/>
              <w:bottom w:val="single" w:color="auto" w:sz="4" w:space="0"/>
              <w:right w:val="single" w:color="auto" w:sz="4" w:space="0"/>
            </w:tcBorders>
            <w:vAlign w:val="center"/>
          </w:tcPr>
          <w:p w14:paraId="55CAAEE0">
            <w:pPr>
              <w:keepNext w:val="0"/>
              <w:keepLines w:val="0"/>
              <w:widowControl/>
              <w:suppressLineNumbers w:val="0"/>
              <w:spacing w:before="0" w:beforeAutospacing="0" w:after="0" w:afterAutospacing="0"/>
              <w:ind w:left="0" w:right="0"/>
              <w:rPr>
                <w:rFonts w:hint="eastAsia" w:ascii="Times New Roman" w:hAnsi="Times New Roman"/>
                <w:sz w:val="18"/>
                <w:szCs w:val="18"/>
              </w:rPr>
            </w:pPr>
            <w:r>
              <w:rPr>
                <w:rFonts w:hint="eastAsia" w:ascii="Times New Roman" w:hAnsi="Times New Roman"/>
                <w:sz w:val="18"/>
                <w:szCs w:val="18"/>
              </w:rPr>
              <w:t>固定污染源排气中颗粒物测定与气态污染物采样方法及修改单</w:t>
            </w:r>
          </w:p>
        </w:tc>
        <w:tc>
          <w:tcPr>
            <w:tcW w:w="830" w:type="pct"/>
            <w:tcBorders>
              <w:top w:val="single" w:color="auto" w:sz="4" w:space="0"/>
              <w:left w:val="single" w:color="auto" w:sz="4" w:space="0"/>
              <w:bottom w:val="single" w:color="auto" w:sz="4" w:space="0"/>
              <w:right w:val="single" w:color="auto" w:sz="4" w:space="0"/>
            </w:tcBorders>
            <w:vAlign w:val="center"/>
          </w:tcPr>
          <w:p w14:paraId="04C992F8">
            <w:pPr>
              <w:keepNext w:val="0"/>
              <w:keepLines w:val="0"/>
              <w:widowControl/>
              <w:suppressLineNumbers w:val="0"/>
              <w:spacing w:before="0" w:beforeAutospacing="0" w:after="0" w:afterAutospacing="0"/>
              <w:ind w:left="0" w:right="0"/>
              <w:jc w:val="center"/>
              <w:rPr>
                <w:rFonts w:hint="eastAsia" w:ascii="Times New Roman" w:hAnsi="Times New Roman"/>
                <w:sz w:val="18"/>
                <w:szCs w:val="18"/>
              </w:rPr>
            </w:pPr>
            <w:r>
              <w:rPr>
                <w:rFonts w:hint="eastAsia" w:ascii="Times New Roman" w:hAnsi="Times New Roman"/>
                <w:sz w:val="18"/>
                <w:szCs w:val="18"/>
              </w:rPr>
              <w:t>GB/T 16157</w:t>
            </w:r>
          </w:p>
        </w:tc>
      </w:tr>
      <w:tr w14:paraId="60D7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5CBABC76">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644B52DF">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523A2A70">
            <w:pPr>
              <w:keepNext w:val="0"/>
              <w:keepLines w:val="0"/>
              <w:widowControl/>
              <w:suppressLineNumbers w:val="0"/>
              <w:spacing w:before="0" w:beforeAutospacing="0" w:after="0" w:afterAutospacing="0"/>
              <w:ind w:left="0" w:right="0"/>
              <w:rPr>
                <w:rFonts w:hint="eastAsia" w:ascii="Times New Roman" w:hAnsi="Times New Roman"/>
                <w:sz w:val="18"/>
                <w:szCs w:val="18"/>
              </w:rPr>
            </w:pPr>
            <w:r>
              <w:rPr>
                <w:rFonts w:hint="eastAsia" w:ascii="Times New Roman" w:hAnsi="Times New Roman"/>
                <w:sz w:val="18"/>
                <w:szCs w:val="18"/>
              </w:rPr>
              <w:t>固定污染源排放 低浓度颗粒物质量浓度的测定 重量法</w:t>
            </w:r>
          </w:p>
        </w:tc>
        <w:tc>
          <w:tcPr>
            <w:tcW w:w="830" w:type="pct"/>
            <w:tcBorders>
              <w:top w:val="single" w:color="auto" w:sz="4" w:space="0"/>
              <w:left w:val="single" w:color="auto" w:sz="4" w:space="0"/>
              <w:bottom w:val="single" w:color="auto" w:sz="4" w:space="0"/>
              <w:right w:val="single" w:color="auto" w:sz="4" w:space="0"/>
            </w:tcBorders>
            <w:vAlign w:val="center"/>
          </w:tcPr>
          <w:p w14:paraId="49150989">
            <w:pPr>
              <w:keepNext w:val="0"/>
              <w:keepLines w:val="0"/>
              <w:widowControl/>
              <w:suppressLineNumbers w:val="0"/>
              <w:spacing w:before="0" w:beforeAutospacing="0" w:after="0" w:afterAutospacing="0"/>
              <w:ind w:left="0" w:right="0"/>
              <w:jc w:val="center"/>
              <w:rPr>
                <w:rFonts w:hint="eastAsia" w:ascii="Times New Roman" w:hAnsi="Times New Roman"/>
                <w:sz w:val="18"/>
                <w:szCs w:val="18"/>
              </w:rPr>
            </w:pPr>
            <w:r>
              <w:rPr>
                <w:rFonts w:hint="eastAsia" w:ascii="Times New Roman" w:hAnsi="Times New Roman"/>
                <w:sz w:val="18"/>
                <w:szCs w:val="18"/>
              </w:rPr>
              <w:t>HJ 836</w:t>
            </w:r>
          </w:p>
        </w:tc>
      </w:tr>
      <w:tr w14:paraId="3A9D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420A0B9E">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0C05CED0">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7295B743">
            <w:pPr>
              <w:keepNext w:val="0"/>
              <w:keepLines w:val="0"/>
              <w:widowControl/>
              <w:suppressLineNumbers w:val="0"/>
              <w:spacing w:before="0" w:beforeAutospacing="0" w:after="0" w:afterAutospacing="0"/>
              <w:ind w:left="0" w:right="0"/>
              <w:rPr>
                <w:rFonts w:hint="eastAsia" w:ascii="Times New Roman" w:hAnsi="Times New Roman"/>
                <w:sz w:val="18"/>
                <w:szCs w:val="18"/>
              </w:rPr>
            </w:pPr>
            <w:r>
              <w:rPr>
                <w:rFonts w:hint="eastAsia" w:ascii="Times New Roman" w:hAnsi="Times New Roman" w:eastAsia="宋体" w:cs="Times New Roman"/>
                <w:kern w:val="2"/>
                <w:sz w:val="18"/>
                <w:szCs w:val="18"/>
                <w:lang w:val="en-US" w:eastAsia="zh-CN" w:bidi="ar"/>
              </w:rPr>
              <w:t>固定污染源废气</w:t>
            </w:r>
            <w:r>
              <w:rPr>
                <w:rFonts w:hint="default" w:ascii="Times New Roman" w:hAnsi="Times New Roman" w:eastAsia="宋体" w:cs="Times New Roman"/>
                <w:kern w:val="2"/>
                <w:sz w:val="18"/>
                <w:szCs w:val="18"/>
                <w:lang w:val="en-US" w:eastAsia="zh-CN" w:bidi="ar"/>
              </w:rPr>
              <w:t xml:space="preserve"> </w:t>
            </w:r>
            <w:r>
              <w:rPr>
                <w:rFonts w:hint="eastAsia" w:ascii="Times New Roman" w:hAnsi="Times New Roman" w:eastAsia="宋体" w:cs="Times New Roman"/>
                <w:kern w:val="2"/>
                <w:sz w:val="18"/>
                <w:szCs w:val="18"/>
                <w:lang w:val="en-US" w:eastAsia="zh-CN" w:bidi="ar"/>
              </w:rPr>
              <w:t>低浓度颗粒物的测定</w:t>
            </w:r>
            <w:r>
              <w:rPr>
                <w:rFonts w:hint="default" w:ascii="Times New Roman" w:hAnsi="Times New Roman" w:eastAsia="宋体" w:cs="Times New Roman"/>
                <w:kern w:val="2"/>
                <w:sz w:val="18"/>
                <w:szCs w:val="18"/>
                <w:lang w:val="en-US" w:eastAsia="zh-CN" w:bidi="ar"/>
              </w:rPr>
              <w:t xml:space="preserve"> </w:t>
            </w:r>
            <w:r>
              <w:rPr>
                <w:rFonts w:hint="eastAsia" w:ascii="Times New Roman" w:hAnsi="Times New Roman" w:eastAsia="宋体" w:cs="Times New Roman"/>
                <w:kern w:val="2"/>
                <w:sz w:val="18"/>
                <w:szCs w:val="18"/>
                <w:lang w:val="en-US" w:eastAsia="zh-CN" w:bidi="ar"/>
              </w:rPr>
              <w:t>便携式β射线法</w:t>
            </w:r>
          </w:p>
        </w:tc>
        <w:tc>
          <w:tcPr>
            <w:tcW w:w="830" w:type="pct"/>
            <w:tcBorders>
              <w:top w:val="single" w:color="auto" w:sz="4" w:space="0"/>
              <w:left w:val="single" w:color="auto" w:sz="4" w:space="0"/>
              <w:bottom w:val="single" w:color="auto" w:sz="4" w:space="0"/>
              <w:right w:val="single" w:color="auto" w:sz="4" w:space="0"/>
            </w:tcBorders>
            <w:vAlign w:val="center"/>
          </w:tcPr>
          <w:p w14:paraId="5A36F6AB">
            <w:pPr>
              <w:keepNext w:val="0"/>
              <w:keepLines w:val="0"/>
              <w:widowControl/>
              <w:suppressLineNumbers w:val="0"/>
              <w:spacing w:before="0" w:beforeAutospacing="0" w:after="0" w:afterAutospacing="0"/>
              <w:ind w:left="0" w:right="0"/>
              <w:jc w:val="center"/>
              <w:rPr>
                <w:rFonts w:hint="eastAsia" w:ascii="Times New Roman" w:hAnsi="Times New Roman"/>
                <w:sz w:val="18"/>
                <w:szCs w:val="18"/>
              </w:rPr>
            </w:pPr>
            <w:r>
              <w:rPr>
                <w:rFonts w:hint="default" w:ascii="Times New Roman" w:hAnsi="Times New Roman" w:eastAsia="宋体" w:cs="Times New Roman"/>
                <w:kern w:val="2"/>
                <w:sz w:val="18"/>
                <w:szCs w:val="18"/>
                <w:lang w:val="en-US" w:eastAsia="zh-CN" w:bidi="ar"/>
              </w:rPr>
              <w:t>HJ 1457</w:t>
            </w:r>
          </w:p>
        </w:tc>
      </w:tr>
      <w:tr w14:paraId="309A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12FCCF8C">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2410BF34">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1B177855">
            <w:pPr>
              <w:keepNext w:val="0"/>
              <w:keepLines w:val="0"/>
              <w:widowControl/>
              <w:suppressLineNumbers w:val="0"/>
              <w:spacing w:before="0" w:beforeAutospacing="0" w:after="0" w:afterAutospacing="0"/>
              <w:ind w:left="0" w:right="0"/>
              <w:rPr>
                <w:rFonts w:hint="eastAsia" w:ascii="Times New Roman" w:hAnsi="Times New Roman"/>
                <w:sz w:val="18"/>
                <w:szCs w:val="18"/>
              </w:rPr>
            </w:pPr>
            <w:r>
              <w:rPr>
                <w:rFonts w:hint="eastAsia" w:ascii="Times New Roman" w:hAnsi="Times New Roman"/>
                <w:sz w:val="18"/>
                <w:szCs w:val="18"/>
              </w:rPr>
              <w:t>环境空气 总悬浮颗粒物的测定 重量法</w:t>
            </w:r>
          </w:p>
        </w:tc>
        <w:tc>
          <w:tcPr>
            <w:tcW w:w="830" w:type="pct"/>
            <w:tcBorders>
              <w:top w:val="single" w:color="auto" w:sz="4" w:space="0"/>
              <w:left w:val="single" w:color="auto" w:sz="4" w:space="0"/>
              <w:bottom w:val="single" w:color="auto" w:sz="4" w:space="0"/>
              <w:right w:val="single" w:color="auto" w:sz="4" w:space="0"/>
            </w:tcBorders>
            <w:vAlign w:val="center"/>
          </w:tcPr>
          <w:p w14:paraId="119FE7A5">
            <w:pPr>
              <w:keepNext w:val="0"/>
              <w:keepLines w:val="0"/>
              <w:widowControl/>
              <w:suppressLineNumbers w:val="0"/>
              <w:spacing w:before="0" w:beforeAutospacing="0" w:after="0" w:afterAutospacing="0"/>
              <w:ind w:left="0" w:right="0"/>
              <w:jc w:val="center"/>
              <w:rPr>
                <w:rFonts w:hint="eastAsia" w:ascii="Times New Roman" w:hAnsi="Times New Roman"/>
                <w:sz w:val="18"/>
                <w:szCs w:val="18"/>
              </w:rPr>
            </w:pPr>
            <w:r>
              <w:rPr>
                <w:rFonts w:hint="eastAsia" w:ascii="Times New Roman" w:hAnsi="Times New Roman"/>
                <w:sz w:val="18"/>
                <w:szCs w:val="18"/>
              </w:rPr>
              <w:t>HJ 1263</w:t>
            </w:r>
          </w:p>
        </w:tc>
      </w:tr>
      <w:tr w14:paraId="22E2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687061B0">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2</w:t>
            </w:r>
          </w:p>
        </w:tc>
        <w:tc>
          <w:tcPr>
            <w:tcW w:w="819" w:type="pct"/>
            <w:vMerge w:val="restart"/>
            <w:tcBorders>
              <w:left w:val="single" w:color="auto" w:sz="4" w:space="0"/>
              <w:right w:val="single" w:color="auto" w:sz="4" w:space="0"/>
            </w:tcBorders>
            <w:vAlign w:val="center"/>
          </w:tcPr>
          <w:p w14:paraId="4E1D2352">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二氧化硫</w:t>
            </w:r>
          </w:p>
        </w:tc>
        <w:tc>
          <w:tcPr>
            <w:tcW w:w="2973" w:type="pct"/>
            <w:tcBorders>
              <w:top w:val="single" w:color="auto" w:sz="4" w:space="0"/>
              <w:left w:val="single" w:color="auto" w:sz="4" w:space="0"/>
              <w:bottom w:val="single" w:color="auto" w:sz="4" w:space="0"/>
              <w:right w:val="single" w:color="auto" w:sz="4" w:space="0"/>
            </w:tcBorders>
          </w:tcPr>
          <w:p w14:paraId="030E36AC">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固定污染源排气中二氧化硫的测定 非分散红外吸收法</w:t>
            </w:r>
          </w:p>
        </w:tc>
        <w:tc>
          <w:tcPr>
            <w:tcW w:w="830" w:type="pct"/>
            <w:tcBorders>
              <w:top w:val="single" w:color="auto" w:sz="4" w:space="0"/>
              <w:left w:val="single" w:color="auto" w:sz="4" w:space="0"/>
              <w:bottom w:val="single" w:color="auto" w:sz="4" w:space="0"/>
              <w:right w:val="single" w:color="auto" w:sz="4" w:space="0"/>
            </w:tcBorders>
          </w:tcPr>
          <w:p w14:paraId="70185C4C">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629</w:t>
            </w:r>
          </w:p>
        </w:tc>
      </w:tr>
      <w:tr w14:paraId="25D7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323445FA">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25D5A9F5">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743F07D9">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固定污染源排气中二氧化硫的测定 定电位电解法</w:t>
            </w:r>
          </w:p>
        </w:tc>
        <w:tc>
          <w:tcPr>
            <w:tcW w:w="830" w:type="pct"/>
            <w:tcBorders>
              <w:top w:val="single" w:color="auto" w:sz="4" w:space="0"/>
              <w:left w:val="single" w:color="auto" w:sz="4" w:space="0"/>
              <w:bottom w:val="single" w:color="auto" w:sz="4" w:space="0"/>
              <w:right w:val="single" w:color="auto" w:sz="4" w:space="0"/>
            </w:tcBorders>
          </w:tcPr>
          <w:p w14:paraId="0437BECD">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57</w:t>
            </w:r>
          </w:p>
        </w:tc>
      </w:tr>
      <w:tr w14:paraId="7F43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7AF95286">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tcPr>
          <w:p w14:paraId="1571912B">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27EF3AEA">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二氧化硫的测定 便携式紫外吸收法</w:t>
            </w:r>
          </w:p>
        </w:tc>
        <w:tc>
          <w:tcPr>
            <w:tcW w:w="830" w:type="pct"/>
            <w:tcBorders>
              <w:top w:val="single" w:color="auto" w:sz="4" w:space="0"/>
              <w:left w:val="single" w:color="auto" w:sz="4" w:space="0"/>
              <w:bottom w:val="single" w:color="auto" w:sz="4" w:space="0"/>
              <w:right w:val="single" w:color="auto" w:sz="4" w:space="0"/>
            </w:tcBorders>
          </w:tcPr>
          <w:p w14:paraId="60D9B04D">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1131</w:t>
            </w:r>
          </w:p>
        </w:tc>
      </w:tr>
      <w:tr w14:paraId="3412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4D395528">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tcPr>
          <w:p w14:paraId="3AA2BEF5">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570171E9">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气态污染物（SO</w:t>
            </w:r>
            <w:r>
              <w:rPr>
                <w:rFonts w:hint="eastAsia" w:ascii="Times New Roman" w:hAnsi="Times New Roman"/>
                <w:sz w:val="18"/>
                <w:vertAlign w:val="subscript"/>
              </w:rPr>
              <w:t>2</w:t>
            </w:r>
            <w:r>
              <w:rPr>
                <w:rFonts w:hint="eastAsia" w:ascii="Times New Roman" w:hAnsi="Times New Roman"/>
                <w:sz w:val="18"/>
              </w:rPr>
              <w:t>、NO、NO</w:t>
            </w:r>
            <w:r>
              <w:rPr>
                <w:rFonts w:hint="eastAsia" w:ascii="Times New Roman" w:hAnsi="Times New Roman"/>
                <w:sz w:val="18"/>
                <w:vertAlign w:val="subscript"/>
              </w:rPr>
              <w:t>2</w:t>
            </w:r>
            <w:r>
              <w:rPr>
                <w:rFonts w:hint="eastAsia" w:ascii="Times New Roman" w:hAnsi="Times New Roman"/>
                <w:sz w:val="18"/>
              </w:rPr>
              <w:t>、CO、CO</w:t>
            </w:r>
            <w:r>
              <w:rPr>
                <w:rFonts w:hint="eastAsia" w:ascii="Times New Roman" w:hAnsi="Times New Roman"/>
                <w:sz w:val="18"/>
                <w:vertAlign w:val="subscript"/>
              </w:rPr>
              <w:t>2</w:t>
            </w:r>
            <w:r>
              <w:rPr>
                <w:rFonts w:hint="eastAsia" w:ascii="Times New Roman" w:hAnsi="Times New Roman"/>
                <w:sz w:val="18"/>
              </w:rPr>
              <w:t>）的测定 便携式傅立叶变换红外光谱法</w:t>
            </w:r>
          </w:p>
        </w:tc>
        <w:tc>
          <w:tcPr>
            <w:tcW w:w="830" w:type="pct"/>
            <w:tcBorders>
              <w:top w:val="single" w:color="auto" w:sz="4" w:space="0"/>
              <w:left w:val="single" w:color="auto" w:sz="4" w:space="0"/>
              <w:bottom w:val="single" w:color="auto" w:sz="4" w:space="0"/>
              <w:right w:val="single" w:color="auto" w:sz="4" w:space="0"/>
            </w:tcBorders>
            <w:vAlign w:val="center"/>
          </w:tcPr>
          <w:p w14:paraId="2D1FDCC3">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1240</w:t>
            </w:r>
          </w:p>
        </w:tc>
      </w:tr>
      <w:tr w14:paraId="60A8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62D3B022">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3</w:t>
            </w:r>
          </w:p>
        </w:tc>
        <w:tc>
          <w:tcPr>
            <w:tcW w:w="819" w:type="pct"/>
            <w:vMerge w:val="restart"/>
            <w:tcBorders>
              <w:left w:val="single" w:color="auto" w:sz="4" w:space="0"/>
              <w:right w:val="single" w:color="auto" w:sz="4" w:space="0"/>
            </w:tcBorders>
            <w:vAlign w:val="center"/>
          </w:tcPr>
          <w:p w14:paraId="1296A09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szCs w:val="18"/>
              </w:rPr>
              <w:t>氮氧化物</w:t>
            </w:r>
          </w:p>
        </w:tc>
        <w:tc>
          <w:tcPr>
            <w:tcW w:w="2973" w:type="pct"/>
            <w:tcBorders>
              <w:top w:val="single" w:color="auto" w:sz="4" w:space="0"/>
              <w:left w:val="single" w:color="auto" w:sz="4" w:space="0"/>
              <w:bottom w:val="single" w:color="auto" w:sz="4" w:space="0"/>
              <w:right w:val="single" w:color="auto" w:sz="4" w:space="0"/>
            </w:tcBorders>
            <w:vAlign w:val="center"/>
          </w:tcPr>
          <w:p w14:paraId="6BAEB7C2">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固定污染源排气中氮氧化物的测定 紫外分光光度法</w:t>
            </w:r>
          </w:p>
        </w:tc>
        <w:tc>
          <w:tcPr>
            <w:tcW w:w="830" w:type="pct"/>
            <w:tcBorders>
              <w:top w:val="single" w:color="auto" w:sz="4" w:space="0"/>
              <w:left w:val="single" w:color="auto" w:sz="4" w:space="0"/>
              <w:bottom w:val="single" w:color="auto" w:sz="4" w:space="0"/>
              <w:right w:val="single" w:color="auto" w:sz="4" w:space="0"/>
            </w:tcBorders>
            <w:vAlign w:val="center"/>
          </w:tcPr>
          <w:p w14:paraId="6D866D62">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HJ/T 42</w:t>
            </w:r>
          </w:p>
        </w:tc>
      </w:tr>
      <w:tr w14:paraId="40EE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5E4A0DD7">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200B9846">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1570A9D2">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固定污染源排气中氮氧化物的测定 盐酸萘乙二胺分光光度法</w:t>
            </w:r>
          </w:p>
        </w:tc>
        <w:tc>
          <w:tcPr>
            <w:tcW w:w="830" w:type="pct"/>
            <w:tcBorders>
              <w:top w:val="single" w:color="auto" w:sz="4" w:space="0"/>
              <w:left w:val="single" w:color="auto" w:sz="4" w:space="0"/>
              <w:bottom w:val="single" w:color="auto" w:sz="4" w:space="0"/>
              <w:right w:val="single" w:color="auto" w:sz="4" w:space="0"/>
            </w:tcBorders>
          </w:tcPr>
          <w:p w14:paraId="6BBDAE66">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HJ/T 43</w:t>
            </w:r>
          </w:p>
        </w:tc>
      </w:tr>
      <w:tr w14:paraId="3344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5B1374DB">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75BB88FB">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4E4BC0C3">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固定污染源排气中氮氧化物的测定 非分散红外吸收法</w:t>
            </w:r>
          </w:p>
        </w:tc>
        <w:tc>
          <w:tcPr>
            <w:tcW w:w="830" w:type="pct"/>
            <w:tcBorders>
              <w:top w:val="single" w:color="auto" w:sz="4" w:space="0"/>
              <w:left w:val="single" w:color="auto" w:sz="4" w:space="0"/>
              <w:bottom w:val="single" w:color="auto" w:sz="4" w:space="0"/>
              <w:right w:val="single" w:color="auto" w:sz="4" w:space="0"/>
            </w:tcBorders>
            <w:vAlign w:val="center"/>
          </w:tcPr>
          <w:p w14:paraId="496CE131">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692</w:t>
            </w:r>
          </w:p>
        </w:tc>
      </w:tr>
      <w:tr w14:paraId="40A8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18FE8E81">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068A3862">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1ED69D80">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固定污染源排气中氮氧化物的测定法 定电位电解法</w:t>
            </w:r>
          </w:p>
        </w:tc>
        <w:tc>
          <w:tcPr>
            <w:tcW w:w="830" w:type="pct"/>
            <w:tcBorders>
              <w:top w:val="single" w:color="auto" w:sz="4" w:space="0"/>
              <w:left w:val="single" w:color="auto" w:sz="4" w:space="0"/>
              <w:bottom w:val="single" w:color="auto" w:sz="4" w:space="0"/>
              <w:right w:val="single" w:color="auto" w:sz="4" w:space="0"/>
            </w:tcBorders>
            <w:vAlign w:val="center"/>
          </w:tcPr>
          <w:p w14:paraId="03AA9AC0">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693</w:t>
            </w:r>
          </w:p>
        </w:tc>
      </w:tr>
      <w:tr w14:paraId="19B9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1AB518C2">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6903D0C7">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12E4475B">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氮氧化物的测定 便携式紫外吸收法</w:t>
            </w:r>
          </w:p>
        </w:tc>
        <w:tc>
          <w:tcPr>
            <w:tcW w:w="830" w:type="pct"/>
            <w:tcBorders>
              <w:top w:val="single" w:color="auto" w:sz="4" w:space="0"/>
              <w:left w:val="single" w:color="auto" w:sz="4" w:space="0"/>
              <w:bottom w:val="single" w:color="auto" w:sz="4" w:space="0"/>
              <w:right w:val="single" w:color="auto" w:sz="4" w:space="0"/>
            </w:tcBorders>
            <w:vAlign w:val="center"/>
          </w:tcPr>
          <w:p w14:paraId="33FB42DA">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1132</w:t>
            </w:r>
          </w:p>
        </w:tc>
      </w:tr>
      <w:tr w14:paraId="4AAC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701C08E4">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65A0A5F7">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0BA443AC">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气态污染物（SO</w:t>
            </w:r>
            <w:r>
              <w:rPr>
                <w:rFonts w:hint="eastAsia" w:ascii="Times New Roman" w:hAnsi="Times New Roman"/>
                <w:sz w:val="18"/>
                <w:vertAlign w:val="subscript"/>
              </w:rPr>
              <w:t>2</w:t>
            </w:r>
            <w:r>
              <w:rPr>
                <w:rFonts w:hint="eastAsia" w:ascii="Times New Roman" w:hAnsi="Times New Roman"/>
                <w:sz w:val="18"/>
              </w:rPr>
              <w:t>、NO、NO</w:t>
            </w:r>
            <w:r>
              <w:rPr>
                <w:rFonts w:hint="eastAsia" w:ascii="Times New Roman" w:hAnsi="Times New Roman"/>
                <w:sz w:val="18"/>
                <w:vertAlign w:val="subscript"/>
              </w:rPr>
              <w:t>2</w:t>
            </w:r>
            <w:r>
              <w:rPr>
                <w:rFonts w:hint="eastAsia" w:ascii="Times New Roman" w:hAnsi="Times New Roman"/>
                <w:sz w:val="18"/>
              </w:rPr>
              <w:t>、CO、CO</w:t>
            </w:r>
            <w:r>
              <w:rPr>
                <w:rFonts w:hint="eastAsia" w:ascii="Times New Roman" w:hAnsi="Times New Roman"/>
                <w:sz w:val="18"/>
                <w:vertAlign w:val="subscript"/>
              </w:rPr>
              <w:t>2</w:t>
            </w:r>
            <w:r>
              <w:rPr>
                <w:rFonts w:hint="eastAsia" w:ascii="Times New Roman" w:hAnsi="Times New Roman"/>
                <w:sz w:val="18"/>
              </w:rPr>
              <w:t>）的测定 便携式傅立叶变换红外光谱法</w:t>
            </w:r>
          </w:p>
        </w:tc>
        <w:tc>
          <w:tcPr>
            <w:tcW w:w="830" w:type="pct"/>
            <w:tcBorders>
              <w:top w:val="single" w:color="auto" w:sz="4" w:space="0"/>
              <w:left w:val="single" w:color="auto" w:sz="4" w:space="0"/>
              <w:bottom w:val="single" w:color="auto" w:sz="4" w:space="0"/>
              <w:right w:val="single" w:color="auto" w:sz="4" w:space="0"/>
            </w:tcBorders>
            <w:vAlign w:val="center"/>
          </w:tcPr>
          <w:p w14:paraId="3D1B7EC0">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1240</w:t>
            </w:r>
          </w:p>
        </w:tc>
      </w:tr>
      <w:tr w14:paraId="6242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365DCED6">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4</w:t>
            </w:r>
          </w:p>
        </w:tc>
        <w:tc>
          <w:tcPr>
            <w:tcW w:w="819" w:type="pct"/>
            <w:vMerge w:val="restart"/>
            <w:tcBorders>
              <w:left w:val="single" w:color="auto" w:sz="4" w:space="0"/>
              <w:right w:val="single" w:color="auto" w:sz="4" w:space="0"/>
            </w:tcBorders>
            <w:vAlign w:val="center"/>
          </w:tcPr>
          <w:p w14:paraId="5BA6890F">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非甲烷总烃</w:t>
            </w:r>
          </w:p>
        </w:tc>
        <w:tc>
          <w:tcPr>
            <w:tcW w:w="2973" w:type="pct"/>
            <w:tcBorders>
              <w:top w:val="single" w:color="auto" w:sz="4" w:space="0"/>
              <w:left w:val="single" w:color="auto" w:sz="4" w:space="0"/>
              <w:bottom w:val="single" w:color="auto" w:sz="4" w:space="0"/>
              <w:right w:val="single" w:color="auto" w:sz="4" w:space="0"/>
            </w:tcBorders>
          </w:tcPr>
          <w:p w14:paraId="2D3904B6">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总烃、甲烷和非甲烷总烃的测定 气相色谱法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27EBD0E1">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38</w:t>
            </w:r>
          </w:p>
        </w:tc>
      </w:tr>
      <w:tr w14:paraId="27A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64F35916">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01978EAA">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39D3C5F5">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 总烃、甲烷和非甲烷总烃的测定 直接进样-气相色谱法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1558ECEE">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604</w:t>
            </w:r>
          </w:p>
        </w:tc>
      </w:tr>
      <w:tr w14:paraId="1E09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3F65F700">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2A72D34B">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1F437FBB">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总烃、甲烷和非甲烷总烃的测定 便携式催化氧化-氢火焰离子化检测器法</w:t>
            </w:r>
          </w:p>
        </w:tc>
        <w:tc>
          <w:tcPr>
            <w:tcW w:w="830" w:type="pct"/>
            <w:tcBorders>
              <w:top w:val="single" w:color="auto" w:sz="4" w:space="0"/>
              <w:left w:val="single" w:color="auto" w:sz="4" w:space="0"/>
              <w:bottom w:val="single" w:color="auto" w:sz="4" w:space="0"/>
              <w:right w:val="single" w:color="auto" w:sz="4" w:space="0"/>
            </w:tcBorders>
            <w:vAlign w:val="center"/>
          </w:tcPr>
          <w:p w14:paraId="0BD26F5A">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1331</w:t>
            </w:r>
          </w:p>
        </w:tc>
      </w:tr>
      <w:tr w14:paraId="003A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4330371B">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01F2F672">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07A934AB">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总烃、甲烷和非甲烷总烃的测定 便携式气相色谱-氢火焰离子化检测器法</w:t>
            </w:r>
          </w:p>
        </w:tc>
        <w:tc>
          <w:tcPr>
            <w:tcW w:w="830" w:type="pct"/>
            <w:tcBorders>
              <w:top w:val="single" w:color="auto" w:sz="4" w:space="0"/>
              <w:left w:val="single" w:color="auto" w:sz="4" w:space="0"/>
              <w:bottom w:val="single" w:color="auto" w:sz="4" w:space="0"/>
              <w:right w:val="single" w:color="auto" w:sz="4" w:space="0"/>
            </w:tcBorders>
            <w:vAlign w:val="center"/>
          </w:tcPr>
          <w:p w14:paraId="6E232704">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1332</w:t>
            </w:r>
          </w:p>
        </w:tc>
      </w:tr>
      <w:tr w14:paraId="2F0B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020DE5FA">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5</w:t>
            </w:r>
          </w:p>
        </w:tc>
        <w:tc>
          <w:tcPr>
            <w:tcW w:w="819" w:type="pct"/>
            <w:vMerge w:val="restart"/>
            <w:tcBorders>
              <w:left w:val="single" w:color="auto" w:sz="4" w:space="0"/>
              <w:right w:val="single" w:color="auto" w:sz="4" w:space="0"/>
            </w:tcBorders>
            <w:vAlign w:val="center"/>
          </w:tcPr>
          <w:p w14:paraId="2DCD4EE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氨</w:t>
            </w:r>
          </w:p>
        </w:tc>
        <w:tc>
          <w:tcPr>
            <w:tcW w:w="2973" w:type="pct"/>
            <w:tcBorders>
              <w:top w:val="single" w:color="auto" w:sz="4" w:space="0"/>
              <w:left w:val="single" w:color="auto" w:sz="4" w:space="0"/>
              <w:bottom w:val="single" w:color="auto" w:sz="4" w:space="0"/>
              <w:right w:val="single" w:color="auto" w:sz="4" w:space="0"/>
            </w:tcBorders>
          </w:tcPr>
          <w:p w14:paraId="65D4FF7A">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空气质量 氨的测定 离子选择电极法</w:t>
            </w:r>
          </w:p>
        </w:tc>
        <w:tc>
          <w:tcPr>
            <w:tcW w:w="830" w:type="pct"/>
            <w:tcBorders>
              <w:top w:val="single" w:color="auto" w:sz="4" w:space="0"/>
              <w:left w:val="single" w:color="auto" w:sz="4" w:space="0"/>
              <w:bottom w:val="single" w:color="auto" w:sz="4" w:space="0"/>
              <w:right w:val="single" w:color="auto" w:sz="4" w:space="0"/>
            </w:tcBorders>
            <w:vAlign w:val="center"/>
          </w:tcPr>
          <w:p w14:paraId="52BD0CD0">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GB/T 14669</w:t>
            </w:r>
          </w:p>
        </w:tc>
      </w:tr>
      <w:tr w14:paraId="1D86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1F554036">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4EFB82F7">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6D4E5DF1">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 氨、甲胺、二甲胺和三甲胺的测定 离子色谱法</w:t>
            </w:r>
          </w:p>
        </w:tc>
        <w:tc>
          <w:tcPr>
            <w:tcW w:w="830" w:type="pct"/>
            <w:tcBorders>
              <w:top w:val="single" w:color="auto" w:sz="4" w:space="0"/>
              <w:left w:val="single" w:color="auto" w:sz="4" w:space="0"/>
              <w:bottom w:val="single" w:color="auto" w:sz="4" w:space="0"/>
              <w:right w:val="single" w:color="auto" w:sz="4" w:space="0"/>
            </w:tcBorders>
            <w:vAlign w:val="center"/>
          </w:tcPr>
          <w:p w14:paraId="4ACD7B2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1076</w:t>
            </w:r>
          </w:p>
        </w:tc>
      </w:tr>
      <w:tr w14:paraId="00A4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286347C9">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27199AF4">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1F6E2184">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氨和氯化氢的测定 便携式傅立叶变换红外光谱法</w:t>
            </w:r>
          </w:p>
        </w:tc>
        <w:tc>
          <w:tcPr>
            <w:tcW w:w="830" w:type="pct"/>
            <w:tcBorders>
              <w:top w:val="single" w:color="auto" w:sz="4" w:space="0"/>
              <w:left w:val="single" w:color="auto" w:sz="4" w:space="0"/>
              <w:bottom w:val="single" w:color="auto" w:sz="4" w:space="0"/>
              <w:right w:val="single" w:color="auto" w:sz="4" w:space="0"/>
            </w:tcBorders>
            <w:vAlign w:val="center"/>
          </w:tcPr>
          <w:p w14:paraId="4A3094C4">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1330</w:t>
            </w:r>
          </w:p>
        </w:tc>
      </w:tr>
      <w:tr w14:paraId="0C4A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0DE70887">
            <w:pPr>
              <w:keepNext w:val="0"/>
              <w:keepLines w:val="0"/>
              <w:widowControl w:val="0"/>
              <w:suppressLineNumbers w:val="0"/>
              <w:adjustRightInd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6</w:t>
            </w:r>
          </w:p>
        </w:tc>
        <w:tc>
          <w:tcPr>
            <w:tcW w:w="819" w:type="pct"/>
            <w:vMerge w:val="restart"/>
            <w:tcBorders>
              <w:left w:val="single" w:color="auto" w:sz="4" w:space="0"/>
              <w:right w:val="single" w:color="auto" w:sz="4" w:space="0"/>
            </w:tcBorders>
            <w:vAlign w:val="center"/>
          </w:tcPr>
          <w:p w14:paraId="59EFDF53">
            <w:pPr>
              <w:keepNext w:val="0"/>
              <w:keepLines w:val="0"/>
              <w:widowControl w:val="0"/>
              <w:suppressLineNumbers w:val="0"/>
              <w:adjustRightInd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苯并[a]芘</w:t>
            </w:r>
          </w:p>
        </w:tc>
        <w:tc>
          <w:tcPr>
            <w:tcW w:w="2973" w:type="pct"/>
            <w:tcBorders>
              <w:top w:val="single" w:color="auto" w:sz="4" w:space="0"/>
              <w:left w:val="single" w:color="auto" w:sz="4" w:space="0"/>
              <w:bottom w:val="single" w:color="auto" w:sz="4" w:space="0"/>
              <w:right w:val="single" w:color="auto" w:sz="4" w:space="0"/>
            </w:tcBorders>
          </w:tcPr>
          <w:p w14:paraId="47D1DE46">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 苯并[a]芘的测定 高效液相色谱法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6A15C82A">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956</w:t>
            </w:r>
          </w:p>
        </w:tc>
      </w:tr>
      <w:tr w14:paraId="6A81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67A236D6">
            <w:pPr>
              <w:keepNext w:val="0"/>
              <w:keepLines w:val="0"/>
              <w:widowControl w:val="0"/>
              <w:suppressLineNumbers w:val="0"/>
              <w:adjustRightInd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3BF0AEDE">
            <w:pPr>
              <w:keepNext w:val="0"/>
              <w:keepLines w:val="0"/>
              <w:widowControl w:val="0"/>
              <w:suppressLineNumbers w:val="0"/>
              <w:adjustRightInd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69FEC44A">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环境空气和废气 气相和颗粒物中多环芳烃的测定 气相色谱-质谱法</w:t>
            </w:r>
          </w:p>
        </w:tc>
        <w:tc>
          <w:tcPr>
            <w:tcW w:w="830" w:type="pct"/>
            <w:tcBorders>
              <w:top w:val="single" w:color="auto" w:sz="4" w:space="0"/>
              <w:left w:val="single" w:color="auto" w:sz="4" w:space="0"/>
              <w:bottom w:val="single" w:color="auto" w:sz="4" w:space="0"/>
              <w:right w:val="single" w:color="auto" w:sz="4" w:space="0"/>
            </w:tcBorders>
            <w:vAlign w:val="center"/>
          </w:tcPr>
          <w:p w14:paraId="6F7E41F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646</w:t>
            </w:r>
          </w:p>
        </w:tc>
      </w:tr>
      <w:tr w14:paraId="4EC8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33E2225D">
            <w:pPr>
              <w:keepNext w:val="0"/>
              <w:keepLines w:val="0"/>
              <w:widowControl w:val="0"/>
              <w:suppressLineNumbers w:val="0"/>
              <w:adjustRightInd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5653B17B">
            <w:pPr>
              <w:keepNext w:val="0"/>
              <w:keepLines w:val="0"/>
              <w:widowControl w:val="0"/>
              <w:suppressLineNumbers w:val="0"/>
              <w:adjustRightInd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0E406E1E">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环境空气和废气 气相和颗粒物中多环芳烃的测定 高效液相色谱法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04B54173">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647</w:t>
            </w:r>
          </w:p>
        </w:tc>
      </w:tr>
      <w:tr w14:paraId="64ED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bottom w:val="single" w:color="auto" w:sz="4" w:space="0"/>
              <w:right w:val="single" w:color="auto" w:sz="4" w:space="0"/>
            </w:tcBorders>
            <w:vAlign w:val="center"/>
          </w:tcPr>
          <w:p w14:paraId="5E2FF11A">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bottom w:val="single" w:color="auto" w:sz="4" w:space="0"/>
              <w:right w:val="single" w:color="auto" w:sz="4" w:space="0"/>
            </w:tcBorders>
            <w:vAlign w:val="center"/>
          </w:tcPr>
          <w:p w14:paraId="40FAB8C4">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613BFB9F">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固定污染源排气中苯并[a]芘的测定 高效液相色谱法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6248AA6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HJ/T 40</w:t>
            </w:r>
          </w:p>
        </w:tc>
      </w:tr>
      <w:tr w14:paraId="6858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left w:val="single" w:color="auto" w:sz="4" w:space="0"/>
              <w:right w:val="single" w:color="auto" w:sz="4" w:space="0"/>
            </w:tcBorders>
            <w:vAlign w:val="center"/>
          </w:tcPr>
          <w:p w14:paraId="6EAA3288">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7</w:t>
            </w:r>
          </w:p>
        </w:tc>
        <w:tc>
          <w:tcPr>
            <w:tcW w:w="819" w:type="pct"/>
            <w:tcBorders>
              <w:left w:val="single" w:color="auto" w:sz="4" w:space="0"/>
              <w:right w:val="single" w:color="auto" w:sz="4" w:space="0"/>
            </w:tcBorders>
            <w:vAlign w:val="center"/>
          </w:tcPr>
          <w:p w14:paraId="0C1ABCE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氰化氢</w:t>
            </w:r>
          </w:p>
        </w:tc>
        <w:tc>
          <w:tcPr>
            <w:tcW w:w="2973" w:type="pct"/>
            <w:tcBorders>
              <w:top w:val="single" w:color="auto" w:sz="4" w:space="0"/>
              <w:left w:val="single" w:color="auto" w:sz="4" w:space="0"/>
              <w:bottom w:val="single" w:color="auto" w:sz="4" w:space="0"/>
              <w:right w:val="single" w:color="auto" w:sz="4" w:space="0"/>
            </w:tcBorders>
          </w:tcPr>
          <w:p w14:paraId="1C1C307C">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固定污染源排气中氰化氢的测定 异烟酸-吡唑啉酮分光光度法</w:t>
            </w:r>
          </w:p>
        </w:tc>
        <w:tc>
          <w:tcPr>
            <w:tcW w:w="830" w:type="pct"/>
            <w:tcBorders>
              <w:top w:val="single" w:color="auto" w:sz="4" w:space="0"/>
              <w:left w:val="single" w:color="auto" w:sz="4" w:space="0"/>
              <w:bottom w:val="single" w:color="auto" w:sz="4" w:space="0"/>
              <w:right w:val="single" w:color="auto" w:sz="4" w:space="0"/>
            </w:tcBorders>
            <w:vAlign w:val="center"/>
          </w:tcPr>
          <w:p w14:paraId="70212819">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HJ/T 28</w:t>
            </w:r>
          </w:p>
        </w:tc>
      </w:tr>
      <w:tr w14:paraId="7AC4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4C15809C">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8</w:t>
            </w:r>
          </w:p>
        </w:tc>
        <w:tc>
          <w:tcPr>
            <w:tcW w:w="819" w:type="pct"/>
            <w:vMerge w:val="restart"/>
            <w:tcBorders>
              <w:left w:val="single" w:color="auto" w:sz="4" w:space="0"/>
              <w:right w:val="single" w:color="auto" w:sz="4" w:space="0"/>
            </w:tcBorders>
            <w:vAlign w:val="center"/>
          </w:tcPr>
          <w:p w14:paraId="522D3E7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酚类化合物</w:t>
            </w:r>
          </w:p>
        </w:tc>
        <w:tc>
          <w:tcPr>
            <w:tcW w:w="2973" w:type="pct"/>
            <w:tcBorders>
              <w:top w:val="single" w:color="auto" w:sz="4" w:space="0"/>
              <w:left w:val="single" w:color="auto" w:sz="4" w:space="0"/>
              <w:bottom w:val="single" w:color="auto" w:sz="4" w:space="0"/>
              <w:right w:val="single" w:color="auto" w:sz="4" w:space="0"/>
            </w:tcBorders>
          </w:tcPr>
          <w:p w14:paraId="1026385A">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固定污染源排气中酚类化合物的测定 4-氨基安替比林分光光度法</w:t>
            </w:r>
          </w:p>
        </w:tc>
        <w:tc>
          <w:tcPr>
            <w:tcW w:w="830" w:type="pct"/>
            <w:tcBorders>
              <w:top w:val="single" w:color="auto" w:sz="4" w:space="0"/>
              <w:left w:val="single" w:color="auto" w:sz="4" w:space="0"/>
              <w:bottom w:val="single" w:color="auto" w:sz="4" w:space="0"/>
              <w:right w:val="single" w:color="auto" w:sz="4" w:space="0"/>
            </w:tcBorders>
            <w:vAlign w:val="center"/>
          </w:tcPr>
          <w:p w14:paraId="03B3842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HJ/T 32</w:t>
            </w:r>
          </w:p>
        </w:tc>
      </w:tr>
      <w:tr w14:paraId="0F00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6C5D1A94">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02BA91B8">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06A33902">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szCs w:val="18"/>
              </w:rPr>
              <w:t>环境空气 酚类化合物的测定 高效液相色谱法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32C50F6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638</w:t>
            </w:r>
          </w:p>
        </w:tc>
      </w:tr>
      <w:tr w14:paraId="106B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13681432">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9</w:t>
            </w:r>
          </w:p>
        </w:tc>
        <w:tc>
          <w:tcPr>
            <w:tcW w:w="819" w:type="pct"/>
            <w:vMerge w:val="restart"/>
            <w:tcBorders>
              <w:left w:val="single" w:color="auto" w:sz="4" w:space="0"/>
              <w:right w:val="single" w:color="auto" w:sz="4" w:space="0"/>
            </w:tcBorders>
            <w:vAlign w:val="center"/>
          </w:tcPr>
          <w:p w14:paraId="089B976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硫化氢</w:t>
            </w:r>
          </w:p>
        </w:tc>
        <w:tc>
          <w:tcPr>
            <w:tcW w:w="2973" w:type="pct"/>
            <w:tcBorders>
              <w:top w:val="single" w:color="auto" w:sz="4" w:space="0"/>
              <w:left w:val="single" w:color="auto" w:sz="4" w:space="0"/>
              <w:bottom w:val="single" w:color="auto" w:sz="4" w:space="0"/>
              <w:right w:val="single" w:color="auto" w:sz="4" w:space="0"/>
            </w:tcBorders>
            <w:vAlign w:val="center"/>
          </w:tcPr>
          <w:p w14:paraId="4F105A7D">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空气质量 硫化氢、甲硫醇、甲硫醚和二甲二硫的测定 气相色谱法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36FB1EDC">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GB/T 14678</w:t>
            </w:r>
          </w:p>
        </w:tc>
      </w:tr>
      <w:tr w14:paraId="15B0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1063B967">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49EE7796">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50E5756A">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硫化氢的测定 亚甲基蓝分光光度法</w:t>
            </w:r>
          </w:p>
        </w:tc>
        <w:tc>
          <w:tcPr>
            <w:tcW w:w="830" w:type="pct"/>
            <w:tcBorders>
              <w:top w:val="single" w:color="auto" w:sz="4" w:space="0"/>
              <w:left w:val="single" w:color="auto" w:sz="4" w:space="0"/>
              <w:bottom w:val="single" w:color="auto" w:sz="4" w:space="0"/>
              <w:right w:val="single" w:color="auto" w:sz="4" w:space="0"/>
            </w:tcBorders>
            <w:vAlign w:val="center"/>
          </w:tcPr>
          <w:p w14:paraId="5395F1EC">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1388</w:t>
            </w:r>
          </w:p>
        </w:tc>
      </w:tr>
      <w:tr w14:paraId="43B5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4B896E16">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10</w:t>
            </w:r>
          </w:p>
        </w:tc>
        <w:tc>
          <w:tcPr>
            <w:tcW w:w="819" w:type="pct"/>
            <w:vMerge w:val="restart"/>
            <w:tcBorders>
              <w:left w:val="single" w:color="auto" w:sz="4" w:space="0"/>
              <w:right w:val="single" w:color="auto" w:sz="4" w:space="0"/>
            </w:tcBorders>
            <w:vAlign w:val="center"/>
          </w:tcPr>
          <w:p w14:paraId="10BF4459">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苯、甲苯及二甲苯</w:t>
            </w:r>
          </w:p>
        </w:tc>
        <w:tc>
          <w:tcPr>
            <w:tcW w:w="2973" w:type="pct"/>
            <w:tcBorders>
              <w:top w:val="single" w:color="auto" w:sz="4" w:space="0"/>
              <w:left w:val="single" w:color="auto" w:sz="4" w:space="0"/>
              <w:bottom w:val="single" w:color="auto" w:sz="4" w:space="0"/>
              <w:right w:val="single" w:color="auto" w:sz="4" w:space="0"/>
            </w:tcBorders>
          </w:tcPr>
          <w:p w14:paraId="0F966511">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 苯系物的测定 固体吸附/热脱附-气相色谱法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3031430D">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583</w:t>
            </w:r>
          </w:p>
        </w:tc>
      </w:tr>
      <w:tr w14:paraId="4BCB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51C37802">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2ED7C4DE">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55DEEC5B">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 苯系物的测定 活性炭吸附/二硫化碳解吸-气相色谱法</w:t>
            </w:r>
          </w:p>
        </w:tc>
        <w:tc>
          <w:tcPr>
            <w:tcW w:w="830" w:type="pct"/>
            <w:tcBorders>
              <w:top w:val="single" w:color="auto" w:sz="4" w:space="0"/>
              <w:left w:val="single" w:color="auto" w:sz="4" w:space="0"/>
              <w:bottom w:val="single" w:color="auto" w:sz="4" w:space="0"/>
              <w:right w:val="single" w:color="auto" w:sz="4" w:space="0"/>
            </w:tcBorders>
            <w:vAlign w:val="center"/>
          </w:tcPr>
          <w:p w14:paraId="7582F66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584</w:t>
            </w:r>
          </w:p>
        </w:tc>
      </w:tr>
      <w:tr w14:paraId="0EBE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58C00826">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101EF756">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39B63E47">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 挥发性有机物的测定 吸附管采样-热脱附/气相色谱-质谱法</w:t>
            </w:r>
          </w:p>
        </w:tc>
        <w:tc>
          <w:tcPr>
            <w:tcW w:w="830" w:type="pct"/>
            <w:tcBorders>
              <w:top w:val="single" w:color="auto" w:sz="4" w:space="0"/>
              <w:left w:val="single" w:color="auto" w:sz="4" w:space="0"/>
              <w:bottom w:val="single" w:color="auto" w:sz="4" w:space="0"/>
              <w:right w:val="single" w:color="auto" w:sz="4" w:space="0"/>
            </w:tcBorders>
            <w:vAlign w:val="center"/>
          </w:tcPr>
          <w:p w14:paraId="54D11CAB">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644</w:t>
            </w:r>
          </w:p>
        </w:tc>
      </w:tr>
      <w:tr w14:paraId="461C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3ECF49AD">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0FC79339">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54E5EB21">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挥发性有机物的测定 固相吸附-热脱附/气相色谱-质谱法</w:t>
            </w:r>
          </w:p>
        </w:tc>
        <w:tc>
          <w:tcPr>
            <w:tcW w:w="830" w:type="pct"/>
            <w:tcBorders>
              <w:top w:val="single" w:color="auto" w:sz="4" w:space="0"/>
              <w:left w:val="single" w:color="auto" w:sz="4" w:space="0"/>
              <w:bottom w:val="single" w:color="auto" w:sz="4" w:space="0"/>
              <w:right w:val="single" w:color="auto" w:sz="4" w:space="0"/>
            </w:tcBorders>
            <w:vAlign w:val="center"/>
          </w:tcPr>
          <w:p w14:paraId="2BF9CDFF">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734</w:t>
            </w:r>
          </w:p>
        </w:tc>
      </w:tr>
      <w:tr w14:paraId="5647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4720AC38">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2552D748">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3A514FD5">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 65种挥发性有机物的测定 罐采样/气相色谱-质谱法</w:t>
            </w:r>
          </w:p>
        </w:tc>
        <w:tc>
          <w:tcPr>
            <w:tcW w:w="830" w:type="pct"/>
            <w:tcBorders>
              <w:top w:val="single" w:color="auto" w:sz="4" w:space="0"/>
              <w:left w:val="single" w:color="auto" w:sz="4" w:space="0"/>
              <w:bottom w:val="single" w:color="auto" w:sz="4" w:space="0"/>
              <w:right w:val="single" w:color="auto" w:sz="4" w:space="0"/>
            </w:tcBorders>
            <w:vAlign w:val="center"/>
          </w:tcPr>
          <w:p w14:paraId="7887EDC2">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759</w:t>
            </w:r>
          </w:p>
        </w:tc>
      </w:tr>
      <w:tr w14:paraId="59C1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top w:val="single" w:color="auto" w:sz="4" w:space="0"/>
              <w:left w:val="single" w:color="auto" w:sz="4" w:space="0"/>
              <w:right w:val="single" w:color="auto" w:sz="4" w:space="0"/>
            </w:tcBorders>
            <w:vAlign w:val="center"/>
          </w:tcPr>
          <w:p w14:paraId="703C1DFF">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11</w:t>
            </w:r>
          </w:p>
        </w:tc>
        <w:tc>
          <w:tcPr>
            <w:tcW w:w="819" w:type="pct"/>
            <w:tcBorders>
              <w:top w:val="single" w:color="auto" w:sz="4" w:space="0"/>
              <w:left w:val="single" w:color="auto" w:sz="4" w:space="0"/>
              <w:right w:val="single" w:color="auto" w:sz="4" w:space="0"/>
            </w:tcBorders>
            <w:vAlign w:val="center"/>
          </w:tcPr>
          <w:p w14:paraId="2DB4A89E">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硫酸雾</w:t>
            </w:r>
          </w:p>
        </w:tc>
        <w:tc>
          <w:tcPr>
            <w:tcW w:w="2973" w:type="pct"/>
            <w:tcBorders>
              <w:top w:val="single" w:color="auto" w:sz="4" w:space="0"/>
              <w:left w:val="single" w:color="auto" w:sz="4" w:space="0"/>
              <w:bottom w:val="single" w:color="auto" w:sz="4" w:space="0"/>
              <w:right w:val="single" w:color="auto" w:sz="4" w:space="0"/>
            </w:tcBorders>
          </w:tcPr>
          <w:p w14:paraId="60F07218">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硫酸雾的测定 离子色谱法</w:t>
            </w:r>
          </w:p>
        </w:tc>
        <w:tc>
          <w:tcPr>
            <w:tcW w:w="830" w:type="pct"/>
            <w:tcBorders>
              <w:top w:val="single" w:color="auto" w:sz="4" w:space="0"/>
              <w:left w:val="single" w:color="auto" w:sz="4" w:space="0"/>
              <w:bottom w:val="single" w:color="auto" w:sz="4" w:space="0"/>
              <w:right w:val="single" w:color="auto" w:sz="4" w:space="0"/>
            </w:tcBorders>
            <w:vAlign w:val="center"/>
          </w:tcPr>
          <w:p w14:paraId="11E00B0C">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544</w:t>
            </w:r>
          </w:p>
        </w:tc>
      </w:tr>
      <w:tr w14:paraId="62BE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left w:val="single" w:color="auto" w:sz="4" w:space="0"/>
              <w:right w:val="single" w:color="auto" w:sz="4" w:space="0"/>
            </w:tcBorders>
            <w:vAlign w:val="center"/>
          </w:tcPr>
          <w:p w14:paraId="4D07838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12</w:t>
            </w:r>
          </w:p>
        </w:tc>
        <w:tc>
          <w:tcPr>
            <w:tcW w:w="819" w:type="pct"/>
            <w:tcBorders>
              <w:left w:val="single" w:color="auto" w:sz="4" w:space="0"/>
              <w:right w:val="single" w:color="auto" w:sz="4" w:space="0"/>
            </w:tcBorders>
            <w:vAlign w:val="center"/>
          </w:tcPr>
          <w:p w14:paraId="0F364FF6">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二噁英类</w:t>
            </w:r>
          </w:p>
        </w:tc>
        <w:tc>
          <w:tcPr>
            <w:tcW w:w="2973" w:type="pct"/>
            <w:tcBorders>
              <w:top w:val="single" w:color="auto" w:sz="4" w:space="0"/>
              <w:left w:val="single" w:color="auto" w:sz="4" w:space="0"/>
              <w:bottom w:val="single" w:color="auto" w:sz="4" w:space="0"/>
              <w:right w:val="single" w:color="auto" w:sz="4" w:space="0"/>
            </w:tcBorders>
          </w:tcPr>
          <w:p w14:paraId="190EC88E">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环境空气和废气 二噁英类的测定 同位素稀释高分辨气相色谱-高分辨质谱法</w:t>
            </w:r>
          </w:p>
        </w:tc>
        <w:tc>
          <w:tcPr>
            <w:tcW w:w="830" w:type="pct"/>
            <w:tcBorders>
              <w:top w:val="single" w:color="auto" w:sz="4" w:space="0"/>
              <w:left w:val="single" w:color="auto" w:sz="4" w:space="0"/>
              <w:bottom w:val="single" w:color="auto" w:sz="4" w:space="0"/>
              <w:right w:val="single" w:color="auto" w:sz="4" w:space="0"/>
            </w:tcBorders>
            <w:vAlign w:val="center"/>
          </w:tcPr>
          <w:p w14:paraId="65CFFC98">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77.2</w:t>
            </w:r>
          </w:p>
        </w:tc>
      </w:tr>
      <w:tr w14:paraId="19B3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left w:val="single" w:color="auto" w:sz="4" w:space="0"/>
              <w:right w:val="single" w:color="auto" w:sz="4" w:space="0"/>
            </w:tcBorders>
            <w:vAlign w:val="center"/>
          </w:tcPr>
          <w:p w14:paraId="15E51F13">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13</w:t>
            </w:r>
          </w:p>
        </w:tc>
        <w:tc>
          <w:tcPr>
            <w:tcW w:w="819" w:type="pct"/>
            <w:tcBorders>
              <w:left w:val="single" w:color="auto" w:sz="4" w:space="0"/>
              <w:right w:val="single" w:color="auto" w:sz="4" w:space="0"/>
            </w:tcBorders>
            <w:vAlign w:val="center"/>
          </w:tcPr>
          <w:p w14:paraId="76718FE6">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氟化物</w:t>
            </w:r>
          </w:p>
        </w:tc>
        <w:tc>
          <w:tcPr>
            <w:tcW w:w="2973" w:type="pct"/>
            <w:tcBorders>
              <w:top w:val="single" w:color="auto" w:sz="4" w:space="0"/>
              <w:left w:val="single" w:color="auto" w:sz="4" w:space="0"/>
              <w:bottom w:val="single" w:color="auto" w:sz="4" w:space="0"/>
              <w:right w:val="single" w:color="auto" w:sz="4" w:space="0"/>
            </w:tcBorders>
          </w:tcPr>
          <w:p w14:paraId="73C038DC">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大气固定污染源 氟化物的测定 离子选择电极法</w:t>
            </w:r>
          </w:p>
        </w:tc>
        <w:tc>
          <w:tcPr>
            <w:tcW w:w="830" w:type="pct"/>
            <w:tcBorders>
              <w:top w:val="single" w:color="auto" w:sz="4" w:space="0"/>
              <w:left w:val="single" w:color="auto" w:sz="4" w:space="0"/>
              <w:bottom w:val="single" w:color="auto" w:sz="4" w:space="0"/>
              <w:right w:val="single" w:color="auto" w:sz="4" w:space="0"/>
            </w:tcBorders>
            <w:vAlign w:val="center"/>
          </w:tcPr>
          <w:p w14:paraId="53E4FB70">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HJ/T 67</w:t>
            </w:r>
          </w:p>
        </w:tc>
      </w:tr>
      <w:tr w14:paraId="61C6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left w:val="single" w:color="auto" w:sz="4" w:space="0"/>
              <w:right w:val="single" w:color="auto" w:sz="4" w:space="0"/>
            </w:tcBorders>
            <w:vAlign w:val="center"/>
          </w:tcPr>
          <w:p w14:paraId="07882C7A">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14</w:t>
            </w:r>
          </w:p>
        </w:tc>
        <w:tc>
          <w:tcPr>
            <w:tcW w:w="819" w:type="pct"/>
            <w:tcBorders>
              <w:left w:val="single" w:color="auto" w:sz="4" w:space="0"/>
              <w:right w:val="single" w:color="auto" w:sz="4" w:space="0"/>
            </w:tcBorders>
            <w:vAlign w:val="center"/>
          </w:tcPr>
          <w:p w14:paraId="35E0F2C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油雾</w:t>
            </w:r>
          </w:p>
        </w:tc>
        <w:tc>
          <w:tcPr>
            <w:tcW w:w="2973" w:type="pct"/>
            <w:tcBorders>
              <w:top w:val="single" w:color="auto" w:sz="4" w:space="0"/>
              <w:left w:val="single" w:color="auto" w:sz="4" w:space="0"/>
              <w:bottom w:val="single" w:color="auto" w:sz="4" w:space="0"/>
              <w:right w:val="single" w:color="auto" w:sz="4" w:space="0"/>
            </w:tcBorders>
          </w:tcPr>
          <w:p w14:paraId="653952ED">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油烟和油雾的测定 红外分光光度法</w:t>
            </w:r>
          </w:p>
        </w:tc>
        <w:tc>
          <w:tcPr>
            <w:tcW w:w="830" w:type="pct"/>
            <w:tcBorders>
              <w:top w:val="single" w:color="auto" w:sz="4" w:space="0"/>
              <w:left w:val="single" w:color="auto" w:sz="4" w:space="0"/>
              <w:bottom w:val="single" w:color="auto" w:sz="4" w:space="0"/>
              <w:right w:val="single" w:color="auto" w:sz="4" w:space="0"/>
            </w:tcBorders>
            <w:vAlign w:val="center"/>
          </w:tcPr>
          <w:p w14:paraId="3BF4A503">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1077</w:t>
            </w:r>
          </w:p>
        </w:tc>
      </w:tr>
      <w:tr w14:paraId="48C0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2C9A988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15</w:t>
            </w:r>
          </w:p>
        </w:tc>
        <w:tc>
          <w:tcPr>
            <w:tcW w:w="819" w:type="pct"/>
            <w:vMerge w:val="restart"/>
            <w:tcBorders>
              <w:left w:val="single" w:color="auto" w:sz="4" w:space="0"/>
              <w:right w:val="single" w:color="auto" w:sz="4" w:space="0"/>
            </w:tcBorders>
            <w:vAlign w:val="center"/>
          </w:tcPr>
          <w:p w14:paraId="791AA5B8">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氯化氢</w:t>
            </w:r>
          </w:p>
        </w:tc>
        <w:tc>
          <w:tcPr>
            <w:tcW w:w="2973" w:type="pct"/>
            <w:tcBorders>
              <w:top w:val="single" w:color="auto" w:sz="4" w:space="0"/>
              <w:left w:val="single" w:color="auto" w:sz="4" w:space="0"/>
              <w:bottom w:val="single" w:color="auto" w:sz="4" w:space="0"/>
              <w:right w:val="single" w:color="auto" w:sz="4" w:space="0"/>
            </w:tcBorders>
          </w:tcPr>
          <w:p w14:paraId="56F3C43E">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固定污染源排气中氯化氢的测定  硫氰酸汞分光光度法</w:t>
            </w:r>
          </w:p>
        </w:tc>
        <w:tc>
          <w:tcPr>
            <w:tcW w:w="830" w:type="pct"/>
            <w:tcBorders>
              <w:top w:val="single" w:color="auto" w:sz="4" w:space="0"/>
              <w:left w:val="single" w:color="auto" w:sz="4" w:space="0"/>
              <w:bottom w:val="single" w:color="auto" w:sz="4" w:space="0"/>
              <w:right w:val="single" w:color="auto" w:sz="4" w:space="0"/>
            </w:tcBorders>
            <w:vAlign w:val="center"/>
          </w:tcPr>
          <w:p w14:paraId="538B63FC">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HJ/T 27</w:t>
            </w:r>
          </w:p>
        </w:tc>
      </w:tr>
      <w:tr w14:paraId="0361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2EDC6808">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35ABD990">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441D6E27">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氯化氢的测定 硝酸银容量法</w:t>
            </w:r>
          </w:p>
        </w:tc>
        <w:tc>
          <w:tcPr>
            <w:tcW w:w="830" w:type="pct"/>
            <w:tcBorders>
              <w:top w:val="single" w:color="auto" w:sz="4" w:space="0"/>
              <w:left w:val="single" w:color="auto" w:sz="4" w:space="0"/>
              <w:bottom w:val="single" w:color="auto" w:sz="4" w:space="0"/>
              <w:right w:val="single" w:color="auto" w:sz="4" w:space="0"/>
            </w:tcBorders>
            <w:vAlign w:val="center"/>
          </w:tcPr>
          <w:p w14:paraId="0E936C28">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548</w:t>
            </w:r>
          </w:p>
        </w:tc>
      </w:tr>
      <w:tr w14:paraId="23E6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052A7650">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5E0C7BAE">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0FA0851C">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环境空气和废气 氯化氢的测定 离子色谱法</w:t>
            </w:r>
          </w:p>
        </w:tc>
        <w:tc>
          <w:tcPr>
            <w:tcW w:w="830" w:type="pct"/>
            <w:tcBorders>
              <w:top w:val="single" w:color="auto" w:sz="4" w:space="0"/>
              <w:left w:val="single" w:color="auto" w:sz="4" w:space="0"/>
              <w:bottom w:val="single" w:color="auto" w:sz="4" w:space="0"/>
              <w:right w:val="single" w:color="auto" w:sz="4" w:space="0"/>
            </w:tcBorders>
            <w:vAlign w:val="center"/>
          </w:tcPr>
          <w:p w14:paraId="1CBF694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549</w:t>
            </w:r>
          </w:p>
        </w:tc>
      </w:tr>
      <w:tr w14:paraId="5896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3AD22E8F">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78C5EB99">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tcPr>
          <w:p w14:paraId="286033F0">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氨和氯化氢的测定 便携式傅立叶变换红外光谱法</w:t>
            </w:r>
          </w:p>
        </w:tc>
        <w:tc>
          <w:tcPr>
            <w:tcW w:w="830" w:type="pct"/>
            <w:tcBorders>
              <w:top w:val="single" w:color="auto" w:sz="4" w:space="0"/>
              <w:left w:val="single" w:color="auto" w:sz="4" w:space="0"/>
              <w:bottom w:val="single" w:color="auto" w:sz="4" w:space="0"/>
              <w:right w:val="single" w:color="auto" w:sz="4" w:space="0"/>
            </w:tcBorders>
            <w:vAlign w:val="center"/>
          </w:tcPr>
          <w:p w14:paraId="29682C33">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1330</w:t>
            </w:r>
          </w:p>
        </w:tc>
      </w:tr>
      <w:tr w14:paraId="2BF2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left w:val="single" w:color="auto" w:sz="4" w:space="0"/>
              <w:right w:val="single" w:color="auto" w:sz="4" w:space="0"/>
            </w:tcBorders>
            <w:vAlign w:val="center"/>
          </w:tcPr>
          <w:p w14:paraId="2555678E">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16</w:t>
            </w:r>
          </w:p>
        </w:tc>
        <w:tc>
          <w:tcPr>
            <w:tcW w:w="819" w:type="pct"/>
            <w:tcBorders>
              <w:left w:val="single" w:color="auto" w:sz="4" w:space="0"/>
              <w:right w:val="single" w:color="auto" w:sz="4" w:space="0"/>
            </w:tcBorders>
            <w:vAlign w:val="center"/>
          </w:tcPr>
          <w:p w14:paraId="205E1D5F">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铬酸雾</w:t>
            </w:r>
          </w:p>
        </w:tc>
        <w:tc>
          <w:tcPr>
            <w:tcW w:w="2973" w:type="pct"/>
            <w:tcBorders>
              <w:top w:val="single" w:color="auto" w:sz="4" w:space="0"/>
              <w:left w:val="single" w:color="auto" w:sz="4" w:space="0"/>
              <w:bottom w:val="single" w:color="auto" w:sz="4" w:space="0"/>
              <w:right w:val="single" w:color="auto" w:sz="4" w:space="0"/>
            </w:tcBorders>
          </w:tcPr>
          <w:p w14:paraId="6BFB64AF">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固定污染源排气中铬酸雾的测定 二苯基碳酰二肼分光光度法</w:t>
            </w:r>
          </w:p>
        </w:tc>
        <w:tc>
          <w:tcPr>
            <w:tcW w:w="830" w:type="pct"/>
            <w:tcBorders>
              <w:top w:val="single" w:color="auto" w:sz="4" w:space="0"/>
              <w:left w:val="single" w:color="auto" w:sz="4" w:space="0"/>
              <w:bottom w:val="single" w:color="auto" w:sz="4" w:space="0"/>
              <w:right w:val="single" w:color="auto" w:sz="4" w:space="0"/>
            </w:tcBorders>
            <w:vAlign w:val="center"/>
          </w:tcPr>
          <w:p w14:paraId="561F8A80">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HJ/T 29</w:t>
            </w:r>
          </w:p>
        </w:tc>
      </w:tr>
      <w:tr w14:paraId="4BE3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top w:val="single" w:color="auto" w:sz="4" w:space="0"/>
              <w:left w:val="single" w:color="auto" w:sz="4" w:space="0"/>
              <w:right w:val="single" w:color="auto" w:sz="4" w:space="0"/>
            </w:tcBorders>
            <w:vAlign w:val="center"/>
          </w:tcPr>
          <w:p w14:paraId="1832FED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17</w:t>
            </w:r>
          </w:p>
        </w:tc>
        <w:tc>
          <w:tcPr>
            <w:tcW w:w="819" w:type="pct"/>
            <w:tcBorders>
              <w:top w:val="single" w:color="auto" w:sz="4" w:space="0"/>
              <w:left w:val="single" w:color="auto" w:sz="4" w:space="0"/>
              <w:right w:val="single" w:color="auto" w:sz="4" w:space="0"/>
            </w:tcBorders>
            <w:vAlign w:val="center"/>
          </w:tcPr>
          <w:p w14:paraId="0FD700B4">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硝酸雾</w:t>
            </w:r>
          </w:p>
        </w:tc>
        <w:tc>
          <w:tcPr>
            <w:tcW w:w="2973" w:type="pct"/>
            <w:tcBorders>
              <w:top w:val="single" w:color="auto" w:sz="4" w:space="0"/>
              <w:left w:val="single" w:color="auto" w:sz="4" w:space="0"/>
              <w:bottom w:val="single" w:color="auto" w:sz="4" w:space="0"/>
              <w:right w:val="single" w:color="auto" w:sz="4" w:space="0"/>
            </w:tcBorders>
          </w:tcPr>
          <w:p w14:paraId="5DB376DC">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硝酸雾的测定 离子色谱法</w:t>
            </w:r>
          </w:p>
        </w:tc>
        <w:tc>
          <w:tcPr>
            <w:tcW w:w="830" w:type="pct"/>
            <w:tcBorders>
              <w:top w:val="single" w:color="auto" w:sz="4" w:space="0"/>
              <w:left w:val="single" w:color="auto" w:sz="4" w:space="0"/>
              <w:bottom w:val="single" w:color="auto" w:sz="4" w:space="0"/>
              <w:right w:val="single" w:color="auto" w:sz="4" w:space="0"/>
            </w:tcBorders>
            <w:vAlign w:val="center"/>
          </w:tcPr>
          <w:p w14:paraId="3C48545B">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1361</w:t>
            </w:r>
          </w:p>
        </w:tc>
      </w:tr>
      <w:tr w14:paraId="3657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left w:val="single" w:color="auto" w:sz="4" w:space="0"/>
              <w:right w:val="single" w:color="auto" w:sz="4" w:space="0"/>
            </w:tcBorders>
            <w:vAlign w:val="center"/>
          </w:tcPr>
          <w:p w14:paraId="60BE1168">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18</w:t>
            </w:r>
          </w:p>
        </w:tc>
        <w:tc>
          <w:tcPr>
            <w:tcW w:w="819" w:type="pct"/>
            <w:tcBorders>
              <w:left w:val="single" w:color="auto" w:sz="4" w:space="0"/>
              <w:right w:val="single" w:color="auto" w:sz="4" w:space="0"/>
            </w:tcBorders>
            <w:vAlign w:val="center"/>
          </w:tcPr>
          <w:p w14:paraId="5F63BEF3">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碱雾</w:t>
            </w:r>
          </w:p>
        </w:tc>
        <w:tc>
          <w:tcPr>
            <w:tcW w:w="2973" w:type="pct"/>
            <w:tcBorders>
              <w:top w:val="single" w:color="auto" w:sz="4" w:space="0"/>
              <w:left w:val="single" w:color="auto" w:sz="4" w:space="0"/>
              <w:bottom w:val="single" w:color="auto" w:sz="4" w:space="0"/>
              <w:right w:val="single" w:color="auto" w:sz="4" w:space="0"/>
            </w:tcBorders>
          </w:tcPr>
          <w:p w14:paraId="34942FE5">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碱雾的测定 电感耦合等离子体发射光谱法</w:t>
            </w:r>
          </w:p>
        </w:tc>
        <w:tc>
          <w:tcPr>
            <w:tcW w:w="830" w:type="pct"/>
            <w:tcBorders>
              <w:top w:val="single" w:color="auto" w:sz="4" w:space="0"/>
              <w:left w:val="single" w:color="auto" w:sz="4" w:space="0"/>
              <w:bottom w:val="single" w:color="auto" w:sz="4" w:space="0"/>
              <w:right w:val="single" w:color="auto" w:sz="4" w:space="0"/>
            </w:tcBorders>
            <w:vAlign w:val="center"/>
          </w:tcPr>
          <w:p w14:paraId="1A92B2AF">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1007</w:t>
            </w:r>
          </w:p>
        </w:tc>
      </w:tr>
      <w:tr w14:paraId="342B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48293C9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19</w:t>
            </w:r>
          </w:p>
        </w:tc>
        <w:tc>
          <w:tcPr>
            <w:tcW w:w="819" w:type="pct"/>
            <w:vMerge w:val="restart"/>
            <w:tcBorders>
              <w:left w:val="single" w:color="auto" w:sz="4" w:space="0"/>
              <w:right w:val="single" w:color="auto" w:sz="4" w:space="0"/>
            </w:tcBorders>
            <w:vAlign w:val="center"/>
          </w:tcPr>
          <w:p w14:paraId="3E77B507">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锌及其化合物</w:t>
            </w:r>
          </w:p>
        </w:tc>
        <w:tc>
          <w:tcPr>
            <w:tcW w:w="2973" w:type="pct"/>
            <w:tcBorders>
              <w:top w:val="single" w:color="auto" w:sz="4" w:space="0"/>
              <w:left w:val="single" w:color="auto" w:sz="4" w:space="0"/>
              <w:bottom w:val="single" w:color="auto" w:sz="4" w:space="0"/>
              <w:right w:val="single" w:color="auto" w:sz="4" w:space="0"/>
            </w:tcBorders>
            <w:vAlign w:val="center"/>
          </w:tcPr>
          <w:p w14:paraId="35FBC3C7">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空气和废气 颗粒物中铅等金属元素的测定 电感耦合等离子体质谱法及修改单</w:t>
            </w:r>
          </w:p>
        </w:tc>
        <w:tc>
          <w:tcPr>
            <w:tcW w:w="830" w:type="pct"/>
            <w:tcBorders>
              <w:top w:val="single" w:color="auto" w:sz="4" w:space="0"/>
              <w:left w:val="single" w:color="auto" w:sz="4" w:space="0"/>
              <w:bottom w:val="single" w:color="auto" w:sz="4" w:space="0"/>
              <w:right w:val="single" w:color="auto" w:sz="4" w:space="0"/>
            </w:tcBorders>
            <w:vAlign w:val="center"/>
          </w:tcPr>
          <w:p w14:paraId="562B81E3">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657</w:t>
            </w:r>
          </w:p>
        </w:tc>
      </w:tr>
      <w:tr w14:paraId="0D7A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43AB692B">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756E2572">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6064A014">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空气和废气 颗粒物中金属元素的测定 电感耦合等离子体发射光谱法</w:t>
            </w:r>
          </w:p>
        </w:tc>
        <w:tc>
          <w:tcPr>
            <w:tcW w:w="830" w:type="pct"/>
            <w:tcBorders>
              <w:top w:val="single" w:color="auto" w:sz="4" w:space="0"/>
              <w:left w:val="single" w:color="auto" w:sz="4" w:space="0"/>
              <w:bottom w:val="single" w:color="auto" w:sz="4" w:space="0"/>
              <w:right w:val="single" w:color="auto" w:sz="4" w:space="0"/>
            </w:tcBorders>
            <w:vAlign w:val="center"/>
          </w:tcPr>
          <w:p w14:paraId="258D5526">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777</w:t>
            </w:r>
          </w:p>
        </w:tc>
      </w:tr>
      <w:tr w14:paraId="1FCA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restart"/>
            <w:tcBorders>
              <w:left w:val="single" w:color="auto" w:sz="4" w:space="0"/>
              <w:right w:val="single" w:color="auto" w:sz="4" w:space="0"/>
            </w:tcBorders>
            <w:vAlign w:val="center"/>
          </w:tcPr>
          <w:p w14:paraId="2FDD77A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20</w:t>
            </w:r>
          </w:p>
        </w:tc>
        <w:tc>
          <w:tcPr>
            <w:tcW w:w="819" w:type="pct"/>
            <w:vMerge w:val="restart"/>
            <w:tcBorders>
              <w:left w:val="single" w:color="auto" w:sz="4" w:space="0"/>
              <w:right w:val="single" w:color="auto" w:sz="4" w:space="0"/>
            </w:tcBorders>
            <w:vAlign w:val="center"/>
          </w:tcPr>
          <w:p w14:paraId="1B6D51AB">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铅及其化合物</w:t>
            </w:r>
          </w:p>
        </w:tc>
        <w:tc>
          <w:tcPr>
            <w:tcW w:w="2973" w:type="pct"/>
            <w:tcBorders>
              <w:top w:val="single" w:color="auto" w:sz="4" w:space="0"/>
              <w:left w:val="single" w:color="auto" w:sz="4" w:space="0"/>
              <w:bottom w:val="single" w:color="auto" w:sz="4" w:space="0"/>
              <w:right w:val="single" w:color="auto" w:sz="4" w:space="0"/>
            </w:tcBorders>
            <w:vAlign w:val="center"/>
          </w:tcPr>
          <w:p w14:paraId="4A8ADD62">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铅的测定 火焰原子吸收分光光度法</w:t>
            </w:r>
          </w:p>
        </w:tc>
        <w:tc>
          <w:tcPr>
            <w:tcW w:w="830" w:type="pct"/>
            <w:tcBorders>
              <w:top w:val="single" w:color="auto" w:sz="4" w:space="0"/>
              <w:left w:val="single" w:color="auto" w:sz="4" w:space="0"/>
              <w:bottom w:val="single" w:color="auto" w:sz="4" w:space="0"/>
              <w:right w:val="single" w:color="auto" w:sz="4" w:space="0"/>
            </w:tcBorders>
            <w:vAlign w:val="center"/>
          </w:tcPr>
          <w:p w14:paraId="7BE05F52">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539</w:t>
            </w:r>
          </w:p>
        </w:tc>
      </w:tr>
      <w:tr w14:paraId="46CC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230CB413">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4E5AC762">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3C8E518A">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空气和废气 颗粒物中铅等金属元素的测定 电感耦合等离子体质谱法及修改单</w:t>
            </w:r>
          </w:p>
        </w:tc>
        <w:tc>
          <w:tcPr>
            <w:tcW w:w="830" w:type="pct"/>
            <w:tcBorders>
              <w:top w:val="single" w:color="auto" w:sz="4" w:space="0"/>
              <w:left w:val="single" w:color="auto" w:sz="4" w:space="0"/>
              <w:bottom w:val="single" w:color="auto" w:sz="4" w:space="0"/>
              <w:right w:val="single" w:color="auto" w:sz="4" w:space="0"/>
            </w:tcBorders>
            <w:vAlign w:val="center"/>
          </w:tcPr>
          <w:p w14:paraId="15FDD625">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657</w:t>
            </w:r>
          </w:p>
        </w:tc>
      </w:tr>
      <w:tr w14:paraId="0D2D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vMerge w:val="continue"/>
            <w:tcBorders>
              <w:left w:val="single" w:color="auto" w:sz="4" w:space="0"/>
              <w:right w:val="single" w:color="auto" w:sz="4" w:space="0"/>
            </w:tcBorders>
            <w:vAlign w:val="center"/>
          </w:tcPr>
          <w:p w14:paraId="6C58A878">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819" w:type="pct"/>
            <w:vMerge w:val="continue"/>
            <w:tcBorders>
              <w:left w:val="single" w:color="auto" w:sz="4" w:space="0"/>
              <w:right w:val="single" w:color="auto" w:sz="4" w:space="0"/>
            </w:tcBorders>
            <w:vAlign w:val="center"/>
          </w:tcPr>
          <w:p w14:paraId="2ADE1B3F">
            <w:pPr>
              <w:keepNext w:val="0"/>
              <w:keepLines w:val="0"/>
              <w:widowControl/>
              <w:suppressLineNumbers w:val="0"/>
              <w:spacing w:before="0" w:beforeAutospacing="0" w:after="0" w:afterAutospacing="0"/>
              <w:ind w:left="0" w:right="0"/>
              <w:jc w:val="center"/>
              <w:rPr>
                <w:rFonts w:hint="eastAsia" w:ascii="Times New Roman" w:hAnsi="Times New Roman"/>
                <w:sz w:val="18"/>
              </w:rPr>
            </w:pPr>
          </w:p>
        </w:tc>
        <w:tc>
          <w:tcPr>
            <w:tcW w:w="2973" w:type="pct"/>
            <w:tcBorders>
              <w:top w:val="single" w:color="auto" w:sz="4" w:space="0"/>
              <w:left w:val="single" w:color="auto" w:sz="4" w:space="0"/>
              <w:bottom w:val="single" w:color="auto" w:sz="4" w:space="0"/>
              <w:right w:val="single" w:color="auto" w:sz="4" w:space="0"/>
            </w:tcBorders>
            <w:vAlign w:val="center"/>
          </w:tcPr>
          <w:p w14:paraId="57811C45">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空气和废气 颗粒物中金属元素的测定 电感耦合等离子体发射光谱法</w:t>
            </w:r>
          </w:p>
        </w:tc>
        <w:tc>
          <w:tcPr>
            <w:tcW w:w="830" w:type="pct"/>
            <w:tcBorders>
              <w:top w:val="single" w:color="auto" w:sz="4" w:space="0"/>
              <w:left w:val="single" w:color="auto" w:sz="4" w:space="0"/>
              <w:bottom w:val="single" w:color="auto" w:sz="4" w:space="0"/>
              <w:right w:val="single" w:color="auto" w:sz="4" w:space="0"/>
            </w:tcBorders>
            <w:vAlign w:val="center"/>
          </w:tcPr>
          <w:p w14:paraId="6690BE6E">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777</w:t>
            </w:r>
          </w:p>
        </w:tc>
      </w:tr>
      <w:tr w14:paraId="11B5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78" w:type="pct"/>
            <w:tcBorders>
              <w:left w:val="single" w:color="auto" w:sz="4" w:space="0"/>
              <w:right w:val="single" w:color="auto" w:sz="4" w:space="0"/>
            </w:tcBorders>
            <w:vAlign w:val="center"/>
          </w:tcPr>
          <w:p w14:paraId="2A9E102F">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21</w:t>
            </w:r>
          </w:p>
        </w:tc>
        <w:tc>
          <w:tcPr>
            <w:tcW w:w="819" w:type="pct"/>
            <w:tcBorders>
              <w:left w:val="single" w:color="auto" w:sz="4" w:space="0"/>
              <w:right w:val="single" w:color="auto" w:sz="4" w:space="0"/>
            </w:tcBorders>
            <w:vAlign w:val="center"/>
          </w:tcPr>
          <w:p w14:paraId="67167910">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苯可溶物</w:t>
            </w:r>
          </w:p>
        </w:tc>
        <w:tc>
          <w:tcPr>
            <w:tcW w:w="2973" w:type="pct"/>
            <w:tcBorders>
              <w:top w:val="single" w:color="auto" w:sz="4" w:space="0"/>
              <w:left w:val="single" w:color="auto" w:sz="4" w:space="0"/>
              <w:bottom w:val="single" w:color="auto" w:sz="4" w:space="0"/>
              <w:right w:val="single" w:color="auto" w:sz="4" w:space="0"/>
            </w:tcBorders>
          </w:tcPr>
          <w:p w14:paraId="32954AA0">
            <w:pPr>
              <w:keepNext w:val="0"/>
              <w:keepLines w:val="0"/>
              <w:widowControl/>
              <w:suppressLineNumbers w:val="0"/>
              <w:spacing w:before="0" w:beforeAutospacing="0" w:after="0" w:afterAutospacing="0"/>
              <w:ind w:left="0" w:right="0"/>
              <w:rPr>
                <w:rFonts w:hint="eastAsia" w:ascii="Times New Roman" w:hAnsi="Times New Roman"/>
                <w:sz w:val="18"/>
              </w:rPr>
            </w:pPr>
            <w:r>
              <w:rPr>
                <w:rFonts w:hint="eastAsia" w:ascii="Times New Roman" w:hAnsi="Times New Roman"/>
                <w:sz w:val="18"/>
              </w:rPr>
              <w:t>固定污染源废气 苯可溶物的测定 索氏提取-重量法</w:t>
            </w:r>
          </w:p>
        </w:tc>
        <w:tc>
          <w:tcPr>
            <w:tcW w:w="830" w:type="pct"/>
            <w:tcBorders>
              <w:top w:val="single" w:color="auto" w:sz="4" w:space="0"/>
              <w:left w:val="single" w:color="auto" w:sz="4" w:space="0"/>
              <w:bottom w:val="single" w:color="auto" w:sz="4" w:space="0"/>
              <w:right w:val="single" w:color="auto" w:sz="4" w:space="0"/>
            </w:tcBorders>
            <w:vAlign w:val="center"/>
          </w:tcPr>
          <w:p w14:paraId="27D6B4C1">
            <w:pPr>
              <w:keepNext w:val="0"/>
              <w:keepLines w:val="0"/>
              <w:widowControl/>
              <w:suppressLineNumbers w:val="0"/>
              <w:spacing w:before="0" w:beforeAutospacing="0" w:after="0" w:afterAutospacing="0"/>
              <w:ind w:left="0" w:right="0"/>
              <w:jc w:val="center"/>
              <w:rPr>
                <w:rFonts w:hint="eastAsia" w:ascii="Times New Roman" w:hAnsi="Times New Roman"/>
                <w:sz w:val="18"/>
              </w:rPr>
            </w:pPr>
            <w:r>
              <w:rPr>
                <w:rFonts w:hint="eastAsia" w:ascii="Times New Roman" w:hAnsi="Times New Roman"/>
                <w:sz w:val="18"/>
              </w:rPr>
              <w:t>HJ 690</w:t>
            </w:r>
          </w:p>
        </w:tc>
      </w:tr>
    </w:tbl>
    <w:p w14:paraId="7B918755">
      <w:pPr>
        <w:pStyle w:val="43"/>
        <w:ind w:firstLine="482"/>
        <w:jc w:val="both"/>
        <w:rPr>
          <w:rFonts w:eastAsia="宋体" w:cs="Times New Roman"/>
        </w:rPr>
      </w:pPr>
      <w:bookmarkStart w:id="135" w:name="_Toc217058314"/>
      <w:bookmarkStart w:id="136" w:name="_Toc185784349"/>
      <w:bookmarkStart w:id="137" w:name="_Toc185781639"/>
      <w:bookmarkStart w:id="138" w:name="_Toc185779074"/>
      <w:bookmarkStart w:id="139" w:name="_Toc185779010"/>
      <w:r>
        <w:rPr>
          <w:rFonts w:eastAsia="宋体" w:cs="Times New Roman"/>
        </w:rPr>
        <w:t>5.4.3达标判定要求</w:t>
      </w:r>
      <w:bookmarkEnd w:id="135"/>
      <w:bookmarkEnd w:id="136"/>
      <w:bookmarkEnd w:id="137"/>
      <w:bookmarkEnd w:id="138"/>
      <w:bookmarkEnd w:id="139"/>
    </w:p>
    <w:p w14:paraId="32E6A455">
      <w:pPr>
        <w:pStyle w:val="35"/>
        <w:widowControl w:val="0"/>
        <w:jc w:val="both"/>
        <w:rPr>
          <w:rFonts w:cs="Times New Roman"/>
        </w:rPr>
      </w:pPr>
      <w:r>
        <w:rPr>
          <w:rFonts w:cs="Times New Roman"/>
        </w:rPr>
        <w:t>对于有组织排放，采用手工监测时，按照监测规范要求测得的任意1h平均浓度值超过本文件规定的限值，判定为超标；采用自动监测时，按照监测规范等要求测量、标记为有效的自动监测数据，计算得到的大气污染物小时浓度均值超过本文将规定的限值，判定为超标。</w:t>
      </w:r>
    </w:p>
    <w:p w14:paraId="4B9629F8">
      <w:pPr>
        <w:pStyle w:val="35"/>
        <w:widowControl w:val="0"/>
        <w:jc w:val="both"/>
        <w:rPr>
          <w:rFonts w:cs="Times New Roman"/>
        </w:rPr>
      </w:pPr>
      <w:r>
        <w:rPr>
          <w:rFonts w:cs="Times New Roman"/>
        </w:rPr>
        <w:t>对于无组织排放，企业应采取必要措施，达到本文件标准规定的无组织排放控制措施要求。企业边界和生产工艺设施按照监测标准要求测得的任意1h平均浓度值超过本文件规定的限值，判定为超标。对于焦炉炉顶，按照本文件要求测得的任意一次浓度值超过本文件规定的限值，判定为超标。</w:t>
      </w:r>
    </w:p>
    <w:p w14:paraId="58DE9A6A">
      <w:pPr>
        <w:pStyle w:val="38"/>
        <w:spacing w:before="156"/>
        <w:jc w:val="both"/>
        <w:rPr>
          <w:rFonts w:eastAsia="宋体"/>
        </w:rPr>
      </w:pPr>
      <w:bookmarkStart w:id="140" w:name="_Toc217058315"/>
      <w:r>
        <w:rPr>
          <w:rFonts w:eastAsia="宋体"/>
        </w:rPr>
        <w:t>6 本标准限值及国内外相关限值的比较</w:t>
      </w:r>
      <w:bookmarkEnd w:id="140"/>
    </w:p>
    <w:p w14:paraId="40F6B472">
      <w:pPr>
        <w:pStyle w:val="35"/>
        <w:widowControl w:val="0"/>
        <w:jc w:val="both"/>
        <w:rPr>
          <w:rFonts w:cs="Times New Roman"/>
        </w:rPr>
      </w:pPr>
      <w:r>
        <w:rPr>
          <w:rFonts w:cs="Times New Roman"/>
        </w:rPr>
        <w:t>国外标准限值见编制说明4.1美国、欧盟、日本标准，考虑到美国、欧盟、日本等国家排放标准出台时间相对较早，目前国内已发布地方排放标准省份制定的限值均严于国外，因此本节重点结合宝钢股份2023年10月-2024年9月在线监测数据、本标准拟确定的限值与现行国标、国内各省份相关标准限值进行比较。</w:t>
      </w:r>
    </w:p>
    <w:p w14:paraId="7EF82628">
      <w:pPr>
        <w:pStyle w:val="37"/>
        <w:spacing w:before="0" w:beforeLines="0"/>
        <w:ind w:left="561"/>
      </w:pPr>
      <w:bookmarkStart w:id="141" w:name="_Toc217058316"/>
      <w:r>
        <w:t>6.1 烧结（球团）工序</w:t>
      </w:r>
      <w:bookmarkEnd w:id="141"/>
    </w:p>
    <w:p w14:paraId="537AC576">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表6-1  烧结（球团）工序大气污染物排放相关标准比较（mg/m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54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864"/>
        <w:gridCol w:w="701"/>
        <w:gridCol w:w="697"/>
        <w:gridCol w:w="697"/>
        <w:gridCol w:w="697"/>
        <w:gridCol w:w="1394"/>
        <w:gridCol w:w="1136"/>
        <w:gridCol w:w="1725"/>
      </w:tblGrid>
      <w:tr w14:paraId="1E8E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14" w:type="dxa"/>
            <w:gridSpan w:val="2"/>
            <w:vMerge w:val="restart"/>
            <w:vAlign w:val="center"/>
          </w:tcPr>
          <w:p w14:paraId="3161346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标准</w:t>
            </w:r>
          </w:p>
        </w:tc>
        <w:tc>
          <w:tcPr>
            <w:tcW w:w="5182" w:type="dxa"/>
            <w:gridSpan w:val="6"/>
            <w:vAlign w:val="center"/>
          </w:tcPr>
          <w:p w14:paraId="23CD210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烧结机头、球团焙烧设备</w:t>
            </w:r>
          </w:p>
        </w:tc>
        <w:tc>
          <w:tcPr>
            <w:tcW w:w="1679" w:type="dxa"/>
            <w:vAlign w:val="center"/>
          </w:tcPr>
          <w:p w14:paraId="50E5992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烧结机机尾、带式焙烧机机尾以及其他生产设备</w:t>
            </w:r>
          </w:p>
        </w:tc>
      </w:tr>
      <w:tr w14:paraId="78E7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14" w:type="dxa"/>
            <w:gridSpan w:val="2"/>
            <w:vMerge w:val="continue"/>
            <w:vAlign w:val="center"/>
          </w:tcPr>
          <w:p w14:paraId="0CC0EF1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682" w:type="dxa"/>
            <w:vAlign w:val="center"/>
          </w:tcPr>
          <w:p w14:paraId="5A3972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679" w:type="dxa"/>
            <w:vAlign w:val="center"/>
          </w:tcPr>
          <w:p w14:paraId="72D926A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二氧化硫</w:t>
            </w:r>
          </w:p>
        </w:tc>
        <w:tc>
          <w:tcPr>
            <w:tcW w:w="679" w:type="dxa"/>
            <w:vAlign w:val="center"/>
          </w:tcPr>
          <w:p w14:paraId="60C4005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氮氧化物</w:t>
            </w:r>
          </w:p>
        </w:tc>
        <w:tc>
          <w:tcPr>
            <w:tcW w:w="679" w:type="dxa"/>
            <w:vAlign w:val="center"/>
          </w:tcPr>
          <w:p w14:paraId="16A8709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1357" w:type="dxa"/>
            <w:vAlign w:val="center"/>
          </w:tcPr>
          <w:p w14:paraId="1BB5262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氟化物</w:t>
            </w:r>
          </w:p>
        </w:tc>
        <w:tc>
          <w:tcPr>
            <w:tcW w:w="1106" w:type="dxa"/>
            <w:vAlign w:val="center"/>
          </w:tcPr>
          <w:p w14:paraId="445F4D7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二噁英类（ng-TEQ/m</w:t>
            </w:r>
            <w:r>
              <w:rPr>
                <w:rFonts w:hint="eastAsia" w:ascii="Times New Roman" w:hAnsi="Times New Roman" w:cs="Times New Roman"/>
                <w:color w:val="000000"/>
                <w:sz w:val="22"/>
                <w:szCs w:val="20"/>
                <w:vertAlign w:val="superscript"/>
              </w:rPr>
              <w:t>3</w:t>
            </w:r>
            <w:r>
              <w:rPr>
                <w:rFonts w:hint="eastAsia" w:ascii="Times New Roman" w:hAnsi="Times New Roman" w:cs="Times New Roman"/>
                <w:color w:val="000000"/>
                <w:sz w:val="22"/>
                <w:szCs w:val="20"/>
              </w:rPr>
              <w:t>）</w:t>
            </w:r>
          </w:p>
        </w:tc>
        <w:tc>
          <w:tcPr>
            <w:tcW w:w="1679" w:type="dxa"/>
            <w:vAlign w:val="center"/>
          </w:tcPr>
          <w:p w14:paraId="7FD3E1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r>
      <w:tr w14:paraId="3353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Align w:val="center"/>
          </w:tcPr>
          <w:p w14:paraId="415BEB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国家标准（GB28662-2012）</w:t>
            </w:r>
          </w:p>
        </w:tc>
        <w:tc>
          <w:tcPr>
            <w:tcW w:w="806" w:type="dxa"/>
            <w:vAlign w:val="center"/>
          </w:tcPr>
          <w:p w14:paraId="04DEF1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特别排放限值</w:t>
            </w:r>
          </w:p>
        </w:tc>
        <w:tc>
          <w:tcPr>
            <w:tcW w:w="682" w:type="dxa"/>
            <w:vAlign w:val="center"/>
          </w:tcPr>
          <w:p w14:paraId="36007E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679" w:type="dxa"/>
            <w:vAlign w:val="center"/>
          </w:tcPr>
          <w:p w14:paraId="5DF899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180</w:t>
            </w:r>
          </w:p>
        </w:tc>
        <w:tc>
          <w:tcPr>
            <w:tcW w:w="679" w:type="dxa"/>
            <w:vAlign w:val="center"/>
          </w:tcPr>
          <w:p w14:paraId="6C33AD5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300</w:t>
            </w:r>
          </w:p>
        </w:tc>
        <w:tc>
          <w:tcPr>
            <w:tcW w:w="679" w:type="dxa"/>
            <w:vAlign w:val="center"/>
          </w:tcPr>
          <w:p w14:paraId="5C13FD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357" w:type="dxa"/>
            <w:vAlign w:val="center"/>
          </w:tcPr>
          <w:p w14:paraId="2BF335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4.0</w:t>
            </w:r>
          </w:p>
        </w:tc>
        <w:tc>
          <w:tcPr>
            <w:tcW w:w="1106" w:type="dxa"/>
            <w:vAlign w:val="center"/>
          </w:tcPr>
          <w:p w14:paraId="411E97A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572EF4D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r>
      <w:tr w14:paraId="1FC5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22348C5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河北省标准（DB13/2169-2018）</w:t>
            </w:r>
          </w:p>
        </w:tc>
        <w:tc>
          <w:tcPr>
            <w:tcW w:w="682" w:type="dxa"/>
            <w:vAlign w:val="center"/>
          </w:tcPr>
          <w:p w14:paraId="2BF783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4F928C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209F51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1AA20C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357" w:type="dxa"/>
            <w:vAlign w:val="center"/>
          </w:tcPr>
          <w:p w14:paraId="27568FD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4.0</w:t>
            </w:r>
          </w:p>
        </w:tc>
        <w:tc>
          <w:tcPr>
            <w:tcW w:w="1106" w:type="dxa"/>
            <w:vAlign w:val="center"/>
          </w:tcPr>
          <w:p w14:paraId="4E8AA2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769B73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54CD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6A5C1F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山东省标准（DB37/990-2019）</w:t>
            </w:r>
          </w:p>
        </w:tc>
        <w:tc>
          <w:tcPr>
            <w:tcW w:w="682" w:type="dxa"/>
            <w:vAlign w:val="center"/>
          </w:tcPr>
          <w:p w14:paraId="4B20C8E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16F6950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2DEFED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4646A6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357" w:type="dxa"/>
            <w:vAlign w:val="center"/>
          </w:tcPr>
          <w:p w14:paraId="2960A9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3.0</w:t>
            </w:r>
          </w:p>
        </w:tc>
        <w:tc>
          <w:tcPr>
            <w:tcW w:w="1106" w:type="dxa"/>
            <w:vAlign w:val="center"/>
          </w:tcPr>
          <w:p w14:paraId="0C0285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320434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7B92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41BE98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河南省标准（DB41/1954-2020）</w:t>
            </w:r>
          </w:p>
        </w:tc>
        <w:tc>
          <w:tcPr>
            <w:tcW w:w="682" w:type="dxa"/>
            <w:vAlign w:val="center"/>
          </w:tcPr>
          <w:p w14:paraId="6C57A7F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4D616F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26E936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6413898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357" w:type="dxa"/>
            <w:vAlign w:val="center"/>
          </w:tcPr>
          <w:p w14:paraId="0E80901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4.0</w:t>
            </w:r>
          </w:p>
        </w:tc>
        <w:tc>
          <w:tcPr>
            <w:tcW w:w="1106" w:type="dxa"/>
            <w:vAlign w:val="center"/>
          </w:tcPr>
          <w:p w14:paraId="5E0B7A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571DC72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0958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46C386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山西省标准（DB14/2249-2020）</w:t>
            </w:r>
          </w:p>
        </w:tc>
        <w:tc>
          <w:tcPr>
            <w:tcW w:w="682" w:type="dxa"/>
            <w:vAlign w:val="center"/>
          </w:tcPr>
          <w:p w14:paraId="1AF3499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41EB381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70C2452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512949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357" w:type="dxa"/>
            <w:vAlign w:val="center"/>
          </w:tcPr>
          <w:p w14:paraId="22A796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4.0</w:t>
            </w:r>
          </w:p>
        </w:tc>
        <w:tc>
          <w:tcPr>
            <w:tcW w:w="1106" w:type="dxa"/>
            <w:vAlign w:val="center"/>
          </w:tcPr>
          <w:p w14:paraId="4E3CBF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3CCC74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0565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0F1AEE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天津市标准（DB12/1120-2022）</w:t>
            </w:r>
          </w:p>
        </w:tc>
        <w:tc>
          <w:tcPr>
            <w:tcW w:w="682" w:type="dxa"/>
            <w:vAlign w:val="center"/>
          </w:tcPr>
          <w:p w14:paraId="536CC3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239445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59D1E16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44C5D2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1357" w:type="dxa"/>
            <w:vAlign w:val="center"/>
          </w:tcPr>
          <w:p w14:paraId="6DDBBE5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4.0</w:t>
            </w:r>
          </w:p>
        </w:tc>
        <w:tc>
          <w:tcPr>
            <w:tcW w:w="1106" w:type="dxa"/>
            <w:vAlign w:val="center"/>
          </w:tcPr>
          <w:p w14:paraId="73FE407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457331A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1A40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391A47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辽宁省标准</w:t>
            </w:r>
          </w:p>
          <w:p w14:paraId="03BE055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（DB21/4119-2025）</w:t>
            </w:r>
          </w:p>
        </w:tc>
        <w:tc>
          <w:tcPr>
            <w:tcW w:w="682" w:type="dxa"/>
            <w:vAlign w:val="center"/>
          </w:tcPr>
          <w:p w14:paraId="12CE53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68609B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441FA9B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591B33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1357" w:type="dxa"/>
            <w:vAlign w:val="center"/>
          </w:tcPr>
          <w:p w14:paraId="703919B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4</w:t>
            </w:r>
          </w:p>
        </w:tc>
        <w:tc>
          <w:tcPr>
            <w:tcW w:w="1106" w:type="dxa"/>
            <w:vAlign w:val="center"/>
          </w:tcPr>
          <w:p w14:paraId="0E2AE68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0.5</w:t>
            </w:r>
          </w:p>
        </w:tc>
        <w:tc>
          <w:tcPr>
            <w:tcW w:w="1679" w:type="dxa"/>
            <w:vAlign w:val="center"/>
          </w:tcPr>
          <w:p w14:paraId="21426C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12B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1C2928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超低意见</w:t>
            </w:r>
          </w:p>
        </w:tc>
        <w:tc>
          <w:tcPr>
            <w:tcW w:w="682" w:type="dxa"/>
            <w:vAlign w:val="center"/>
          </w:tcPr>
          <w:p w14:paraId="562ED4B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421F55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253EB0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2030D80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357" w:type="dxa"/>
            <w:vAlign w:val="center"/>
          </w:tcPr>
          <w:p w14:paraId="55781F1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w:t>
            </w:r>
          </w:p>
        </w:tc>
        <w:tc>
          <w:tcPr>
            <w:tcW w:w="1106" w:type="dxa"/>
            <w:vAlign w:val="center"/>
          </w:tcPr>
          <w:p w14:paraId="265EC5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679" w:type="dxa"/>
            <w:vAlign w:val="center"/>
          </w:tcPr>
          <w:p w14:paraId="0B1E40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r w14:paraId="6B3E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428896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bookmarkStart w:id="142" w:name="_Hlk209194967"/>
            <w:r>
              <w:rPr>
                <w:rFonts w:hint="eastAsia" w:ascii="Times New Roman" w:hAnsi="Times New Roman" w:cs="Times New Roman"/>
                <w:color w:val="000000"/>
                <w:sz w:val="22"/>
                <w:szCs w:val="20"/>
              </w:rPr>
              <w:t>宝钢股份在线监测</w:t>
            </w:r>
          </w:p>
          <w:p w14:paraId="6BACB6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（95百分位数值）</w:t>
            </w:r>
          </w:p>
        </w:tc>
        <w:tc>
          <w:tcPr>
            <w:tcW w:w="682" w:type="dxa"/>
            <w:vAlign w:val="center"/>
          </w:tcPr>
          <w:p w14:paraId="7B72CE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4.19</w:t>
            </w:r>
          </w:p>
        </w:tc>
        <w:tc>
          <w:tcPr>
            <w:tcW w:w="679" w:type="dxa"/>
            <w:vAlign w:val="center"/>
          </w:tcPr>
          <w:p w14:paraId="4A5BFF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13.86</w:t>
            </w:r>
          </w:p>
        </w:tc>
        <w:tc>
          <w:tcPr>
            <w:tcW w:w="679" w:type="dxa"/>
            <w:vAlign w:val="center"/>
          </w:tcPr>
          <w:p w14:paraId="15D9E0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45.21</w:t>
            </w:r>
          </w:p>
        </w:tc>
        <w:tc>
          <w:tcPr>
            <w:tcW w:w="679" w:type="dxa"/>
            <w:vAlign w:val="center"/>
          </w:tcPr>
          <w:p w14:paraId="41F177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357" w:type="dxa"/>
            <w:vAlign w:val="center"/>
          </w:tcPr>
          <w:p w14:paraId="1DD283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w:t>
            </w:r>
          </w:p>
        </w:tc>
        <w:tc>
          <w:tcPr>
            <w:tcW w:w="1106" w:type="dxa"/>
            <w:vAlign w:val="center"/>
          </w:tcPr>
          <w:p w14:paraId="7A22F84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1679" w:type="dxa"/>
            <w:vAlign w:val="center"/>
          </w:tcPr>
          <w:p w14:paraId="506D9F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3.73</w:t>
            </w:r>
          </w:p>
        </w:tc>
      </w:tr>
      <w:bookmarkEnd w:id="142"/>
      <w:tr w14:paraId="6F11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114" w:type="dxa"/>
            <w:gridSpan w:val="2"/>
            <w:vAlign w:val="center"/>
          </w:tcPr>
          <w:p w14:paraId="553540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拟定排放限值</w:t>
            </w:r>
          </w:p>
        </w:tc>
        <w:tc>
          <w:tcPr>
            <w:tcW w:w="682" w:type="dxa"/>
            <w:vAlign w:val="center"/>
          </w:tcPr>
          <w:p w14:paraId="1FDFF1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9" w:type="dxa"/>
            <w:vAlign w:val="center"/>
          </w:tcPr>
          <w:p w14:paraId="24A171A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35</w:t>
            </w:r>
          </w:p>
        </w:tc>
        <w:tc>
          <w:tcPr>
            <w:tcW w:w="679" w:type="dxa"/>
            <w:vAlign w:val="center"/>
          </w:tcPr>
          <w:p w14:paraId="6615F2A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9" w:type="dxa"/>
            <w:vAlign w:val="center"/>
          </w:tcPr>
          <w:p w14:paraId="7A8B8B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1357" w:type="dxa"/>
            <w:vAlign w:val="center"/>
          </w:tcPr>
          <w:p w14:paraId="3243FF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2"/>
                <w:szCs w:val="20"/>
              </w:rPr>
            </w:pPr>
            <w:r>
              <w:rPr>
                <w:rFonts w:hint="eastAsia" w:ascii="Times New Roman" w:hAnsi="Times New Roman" w:cs="Times New Roman"/>
                <w:color w:val="000000"/>
                <w:sz w:val="22"/>
                <w:szCs w:val="20"/>
              </w:rPr>
              <w:t>3.0</w:t>
            </w:r>
          </w:p>
        </w:tc>
        <w:tc>
          <w:tcPr>
            <w:tcW w:w="1106" w:type="dxa"/>
            <w:vAlign w:val="center"/>
          </w:tcPr>
          <w:p w14:paraId="79421C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eastAsia="宋体" w:cs="Times New Roman"/>
                <w:color w:val="000000"/>
                <w:sz w:val="22"/>
                <w:szCs w:val="20"/>
                <w:lang w:val="en-US" w:eastAsia="zh-CN"/>
              </w:rPr>
            </w:pPr>
            <w:r>
              <w:rPr>
                <w:rFonts w:hint="eastAsia" w:ascii="Times New Roman" w:hAnsi="Times New Roman" w:cs="Times New Roman"/>
                <w:color w:val="000000"/>
                <w:sz w:val="22"/>
                <w:szCs w:val="20"/>
              </w:rPr>
              <w:t>0.</w:t>
            </w:r>
            <w:r>
              <w:rPr>
                <w:rFonts w:hint="eastAsia" w:ascii="Times New Roman" w:hAnsi="Times New Roman" w:cs="Times New Roman"/>
                <w:color w:val="000000"/>
                <w:sz w:val="22"/>
                <w:szCs w:val="20"/>
                <w:lang w:val="en-US" w:eastAsia="zh-CN"/>
              </w:rPr>
              <w:t>2</w:t>
            </w:r>
          </w:p>
        </w:tc>
        <w:tc>
          <w:tcPr>
            <w:tcW w:w="1679" w:type="dxa"/>
            <w:vAlign w:val="center"/>
          </w:tcPr>
          <w:p w14:paraId="455960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bl>
    <w:p w14:paraId="338573D8">
      <w:pPr>
        <w:pStyle w:val="13"/>
        <w:spacing w:line="360" w:lineRule="auto"/>
        <w:ind w:firstLine="480"/>
        <w:jc w:val="both"/>
        <w:rPr>
          <w:rFonts w:ascii="Times New Roman" w:hAnsi="Times New Roman"/>
        </w:rPr>
      </w:pPr>
      <w:r>
        <w:rPr>
          <w:rFonts w:ascii="Times New Roman" w:hAnsi="Times New Roman"/>
        </w:rPr>
        <w:t>根据表6-1，宝钢股份上一周期年度烧结机头烟气颗粒物、二氧化硫、氮氧化物浓度95%时段数值均低于拟定排放限值，烧结机尾及其他生产设施废气颗粒物浓度95%时段数值均低于拟定排放限值。因此，本次标准排放限值与</w:t>
      </w:r>
      <w:bookmarkStart w:id="143" w:name="OLE_LINK89"/>
      <w:bookmarkStart w:id="144" w:name="OLE_LINK90"/>
      <w:r>
        <w:rPr>
          <w:rFonts w:ascii="Times New Roman" w:hAnsi="Times New Roman"/>
        </w:rPr>
        <w:t>河北、山东、河南、天津四个省市</w:t>
      </w:r>
      <w:bookmarkEnd w:id="143"/>
      <w:bookmarkEnd w:id="144"/>
      <w:r>
        <w:rPr>
          <w:rFonts w:ascii="Times New Roman" w:hAnsi="Times New Roman"/>
        </w:rPr>
        <w:t>钢铁排放标准中烧结、球团工序三类常规大气污染物排放限值、《超低意见》中限值浓度保持一致。氟化物排放限值与山东地标加严数值保持一致。</w:t>
      </w:r>
    </w:p>
    <w:p w14:paraId="35970355">
      <w:pPr>
        <w:pStyle w:val="37"/>
        <w:spacing w:before="0" w:beforeLines="0"/>
        <w:ind w:left="561"/>
      </w:pPr>
      <w:bookmarkStart w:id="145" w:name="_Toc217058317"/>
      <w:r>
        <w:t>6.2 焦化工序</w:t>
      </w:r>
      <w:bookmarkEnd w:id="145"/>
    </w:p>
    <w:p w14:paraId="091E2805">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表6-2  焦化工序大气污染物排放相关标准比较（mg/m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54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659"/>
        <w:gridCol w:w="556"/>
        <w:gridCol w:w="582"/>
        <w:gridCol w:w="582"/>
        <w:gridCol w:w="706"/>
        <w:gridCol w:w="347"/>
        <w:gridCol w:w="693"/>
        <w:gridCol w:w="692"/>
        <w:gridCol w:w="693"/>
        <w:gridCol w:w="693"/>
        <w:gridCol w:w="693"/>
        <w:gridCol w:w="692"/>
        <w:gridCol w:w="660"/>
      </w:tblGrid>
      <w:tr w14:paraId="02E2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1" w:type="dxa"/>
            <w:gridSpan w:val="2"/>
            <w:vMerge w:val="restart"/>
            <w:vAlign w:val="center"/>
          </w:tcPr>
          <w:p w14:paraId="3DFAFB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标准</w:t>
            </w:r>
          </w:p>
        </w:tc>
        <w:tc>
          <w:tcPr>
            <w:tcW w:w="2700" w:type="dxa"/>
            <w:gridSpan w:val="5"/>
            <w:vAlign w:val="center"/>
          </w:tcPr>
          <w:p w14:paraId="47A2379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焦炉烟气</w:t>
            </w:r>
          </w:p>
        </w:tc>
        <w:tc>
          <w:tcPr>
            <w:tcW w:w="1349" w:type="dxa"/>
            <w:gridSpan w:val="2"/>
            <w:vAlign w:val="center"/>
          </w:tcPr>
          <w:p w14:paraId="5BF9A4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装煤</w:t>
            </w:r>
          </w:p>
        </w:tc>
        <w:tc>
          <w:tcPr>
            <w:tcW w:w="1350" w:type="dxa"/>
            <w:gridSpan w:val="2"/>
            <w:vAlign w:val="center"/>
          </w:tcPr>
          <w:p w14:paraId="0DAF70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出（推）焦</w:t>
            </w:r>
          </w:p>
        </w:tc>
        <w:tc>
          <w:tcPr>
            <w:tcW w:w="1349" w:type="dxa"/>
            <w:gridSpan w:val="2"/>
            <w:vAlign w:val="center"/>
          </w:tcPr>
          <w:p w14:paraId="0100546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干熄焦</w:t>
            </w:r>
          </w:p>
        </w:tc>
        <w:tc>
          <w:tcPr>
            <w:tcW w:w="642" w:type="dxa"/>
            <w:vAlign w:val="center"/>
          </w:tcPr>
          <w:p w14:paraId="075126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其他生产设施</w:t>
            </w:r>
          </w:p>
        </w:tc>
      </w:tr>
      <w:tr w14:paraId="3574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1" w:type="dxa"/>
            <w:gridSpan w:val="2"/>
            <w:vMerge w:val="continue"/>
            <w:vAlign w:val="center"/>
          </w:tcPr>
          <w:p w14:paraId="0E1DC4F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41" w:type="dxa"/>
            <w:vAlign w:val="center"/>
          </w:tcPr>
          <w:p w14:paraId="7C6D2A5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567" w:type="dxa"/>
            <w:vAlign w:val="center"/>
          </w:tcPr>
          <w:p w14:paraId="5707203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二氧化硫</w:t>
            </w:r>
          </w:p>
        </w:tc>
        <w:tc>
          <w:tcPr>
            <w:tcW w:w="567" w:type="dxa"/>
            <w:vAlign w:val="center"/>
          </w:tcPr>
          <w:p w14:paraId="7560A3E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氮氧化物</w:t>
            </w:r>
          </w:p>
        </w:tc>
        <w:tc>
          <w:tcPr>
            <w:tcW w:w="687" w:type="dxa"/>
            <w:vAlign w:val="center"/>
          </w:tcPr>
          <w:p w14:paraId="3129DFB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非甲烷总烃</w:t>
            </w:r>
          </w:p>
        </w:tc>
        <w:tc>
          <w:tcPr>
            <w:tcW w:w="338" w:type="dxa"/>
            <w:vAlign w:val="center"/>
          </w:tcPr>
          <w:p w14:paraId="098DDF8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675" w:type="dxa"/>
            <w:vAlign w:val="center"/>
          </w:tcPr>
          <w:p w14:paraId="63C5C0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674" w:type="dxa"/>
            <w:vAlign w:val="center"/>
          </w:tcPr>
          <w:p w14:paraId="48B3FB4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二氧化硫</w:t>
            </w:r>
          </w:p>
        </w:tc>
        <w:tc>
          <w:tcPr>
            <w:tcW w:w="675" w:type="dxa"/>
            <w:vAlign w:val="center"/>
          </w:tcPr>
          <w:p w14:paraId="114E51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675" w:type="dxa"/>
            <w:vAlign w:val="center"/>
          </w:tcPr>
          <w:p w14:paraId="36FB05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二氧化硫</w:t>
            </w:r>
          </w:p>
        </w:tc>
        <w:tc>
          <w:tcPr>
            <w:tcW w:w="675" w:type="dxa"/>
            <w:vAlign w:val="center"/>
          </w:tcPr>
          <w:p w14:paraId="3B3E9A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674" w:type="dxa"/>
            <w:vAlign w:val="center"/>
          </w:tcPr>
          <w:p w14:paraId="3D6CFD7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二氧化硫</w:t>
            </w:r>
          </w:p>
        </w:tc>
        <w:tc>
          <w:tcPr>
            <w:tcW w:w="642" w:type="dxa"/>
            <w:vAlign w:val="center"/>
          </w:tcPr>
          <w:p w14:paraId="405B67E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r>
      <w:tr w14:paraId="0347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6E943CD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国家标准（GB16171.1-2024）</w:t>
            </w:r>
          </w:p>
        </w:tc>
        <w:tc>
          <w:tcPr>
            <w:tcW w:w="616" w:type="dxa"/>
            <w:vAlign w:val="center"/>
          </w:tcPr>
          <w:p w14:paraId="5A71F4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特别排放限值</w:t>
            </w:r>
          </w:p>
        </w:tc>
        <w:tc>
          <w:tcPr>
            <w:tcW w:w="541" w:type="dxa"/>
            <w:vAlign w:val="center"/>
          </w:tcPr>
          <w:p w14:paraId="7BEDE5E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567" w:type="dxa"/>
            <w:vAlign w:val="center"/>
          </w:tcPr>
          <w:p w14:paraId="591E345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567" w:type="dxa"/>
            <w:vAlign w:val="center"/>
          </w:tcPr>
          <w:p w14:paraId="0EDE98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687" w:type="dxa"/>
            <w:vAlign w:val="center"/>
          </w:tcPr>
          <w:p w14:paraId="521256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w:t>
            </w:r>
          </w:p>
        </w:tc>
        <w:tc>
          <w:tcPr>
            <w:tcW w:w="338" w:type="dxa"/>
            <w:vAlign w:val="center"/>
          </w:tcPr>
          <w:p w14:paraId="0AEB600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675" w:type="dxa"/>
            <w:vAlign w:val="center"/>
          </w:tcPr>
          <w:p w14:paraId="4D1EE5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4" w:type="dxa"/>
            <w:vAlign w:val="center"/>
          </w:tcPr>
          <w:p w14:paraId="0C1B2D8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70</w:t>
            </w:r>
          </w:p>
        </w:tc>
        <w:tc>
          <w:tcPr>
            <w:tcW w:w="675" w:type="dxa"/>
            <w:vAlign w:val="center"/>
          </w:tcPr>
          <w:p w14:paraId="7F7550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5" w:type="dxa"/>
            <w:vAlign w:val="center"/>
          </w:tcPr>
          <w:p w14:paraId="01B5FA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5" w:type="dxa"/>
            <w:vAlign w:val="center"/>
          </w:tcPr>
          <w:p w14:paraId="706507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4" w:type="dxa"/>
            <w:vAlign w:val="center"/>
          </w:tcPr>
          <w:p w14:paraId="303594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642" w:type="dxa"/>
            <w:vAlign w:val="center"/>
          </w:tcPr>
          <w:p w14:paraId="280A210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r>
      <w:tr w14:paraId="479C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gridSpan w:val="2"/>
            <w:vAlign w:val="center"/>
          </w:tcPr>
          <w:p w14:paraId="1EBC486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河北省标准（DB13/2863—2018）</w:t>
            </w:r>
          </w:p>
        </w:tc>
        <w:tc>
          <w:tcPr>
            <w:tcW w:w="541" w:type="dxa"/>
            <w:vAlign w:val="center"/>
          </w:tcPr>
          <w:p w14:paraId="719058E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567" w:type="dxa"/>
            <w:vAlign w:val="center"/>
          </w:tcPr>
          <w:p w14:paraId="3F03E74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567" w:type="dxa"/>
            <w:vAlign w:val="center"/>
          </w:tcPr>
          <w:p w14:paraId="568A08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130</w:t>
            </w:r>
          </w:p>
        </w:tc>
        <w:tc>
          <w:tcPr>
            <w:tcW w:w="687" w:type="dxa"/>
            <w:vAlign w:val="center"/>
          </w:tcPr>
          <w:p w14:paraId="732EB2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338" w:type="dxa"/>
            <w:vAlign w:val="center"/>
          </w:tcPr>
          <w:p w14:paraId="325AA1D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5" w:type="dxa"/>
            <w:vAlign w:val="center"/>
          </w:tcPr>
          <w:p w14:paraId="437948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0DBD67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70</w:t>
            </w:r>
          </w:p>
        </w:tc>
        <w:tc>
          <w:tcPr>
            <w:tcW w:w="675" w:type="dxa"/>
            <w:vAlign w:val="center"/>
          </w:tcPr>
          <w:p w14:paraId="763195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5" w:type="dxa"/>
            <w:vAlign w:val="center"/>
          </w:tcPr>
          <w:p w14:paraId="5F71D7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5" w:type="dxa"/>
            <w:vAlign w:val="center"/>
          </w:tcPr>
          <w:p w14:paraId="12BB82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393D0F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642" w:type="dxa"/>
            <w:vAlign w:val="center"/>
          </w:tcPr>
          <w:p w14:paraId="3D1297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4621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gridSpan w:val="2"/>
            <w:vAlign w:val="center"/>
          </w:tcPr>
          <w:p w14:paraId="668A304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山东省标准（DB37/2376-2019）</w:t>
            </w:r>
          </w:p>
        </w:tc>
        <w:tc>
          <w:tcPr>
            <w:tcW w:w="541" w:type="dxa"/>
            <w:vAlign w:val="center"/>
          </w:tcPr>
          <w:p w14:paraId="4B7B91C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567" w:type="dxa"/>
            <w:vAlign w:val="center"/>
          </w:tcPr>
          <w:p w14:paraId="4F935CC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567" w:type="dxa"/>
            <w:vAlign w:val="center"/>
          </w:tcPr>
          <w:p w14:paraId="26683E7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p w14:paraId="07F551B6">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eastAsia="宋体" w:cs="Times New Roman"/>
                <w:color w:val="000000"/>
                <w:sz w:val="22"/>
                <w:szCs w:val="20"/>
                <w:lang w:val="en-US" w:eastAsia="zh-CN"/>
              </w:rPr>
            </w:pPr>
            <w:r>
              <w:rPr>
                <w:rFonts w:hint="eastAsia" w:ascii="Times New Roman" w:hAnsi="Times New Roman" w:cs="Times New Roman"/>
                <w:color w:val="000000"/>
                <w:sz w:val="22"/>
                <w:szCs w:val="20"/>
                <w:lang w:val="en-US" w:eastAsia="zh-CN"/>
              </w:rPr>
              <w:t>(</w:t>
            </w:r>
            <w:r>
              <w:rPr>
                <w:rFonts w:hint="eastAsia" w:ascii="Times New Roman" w:hAnsi="Times New Roman" w:cs="Times New Roman"/>
                <w:color w:val="000000"/>
                <w:sz w:val="22"/>
                <w:szCs w:val="20"/>
              </w:rPr>
              <w:t>100</w:t>
            </w:r>
            <w:r>
              <w:rPr>
                <w:rFonts w:hint="eastAsia" w:ascii="Times New Roman" w:hAnsi="Times New Roman" w:cs="Times New Roman"/>
                <w:color w:val="000000"/>
                <w:sz w:val="22"/>
                <w:szCs w:val="20"/>
                <w:lang w:val="en-US" w:eastAsia="zh-CN"/>
              </w:rPr>
              <w:t>)</w:t>
            </w:r>
          </w:p>
        </w:tc>
        <w:tc>
          <w:tcPr>
            <w:tcW w:w="687" w:type="dxa"/>
            <w:vAlign w:val="center"/>
          </w:tcPr>
          <w:p w14:paraId="7AB64C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338" w:type="dxa"/>
            <w:vAlign w:val="center"/>
          </w:tcPr>
          <w:p w14:paraId="551843F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5" w:type="dxa"/>
            <w:vAlign w:val="center"/>
          </w:tcPr>
          <w:p w14:paraId="42805F8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29B6168D">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75" w:type="dxa"/>
            <w:vAlign w:val="center"/>
          </w:tcPr>
          <w:p w14:paraId="7C71CF5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5" w:type="dxa"/>
            <w:vAlign w:val="center"/>
          </w:tcPr>
          <w:p w14:paraId="2E6EE8C8">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5" w:type="dxa"/>
            <w:vAlign w:val="center"/>
          </w:tcPr>
          <w:p w14:paraId="36A7AD6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4A5AF16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42" w:type="dxa"/>
            <w:vAlign w:val="center"/>
          </w:tcPr>
          <w:p w14:paraId="2326059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697A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gridSpan w:val="2"/>
            <w:vAlign w:val="center"/>
          </w:tcPr>
          <w:p w14:paraId="264B97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天津市标准（DB12/1120-2022）</w:t>
            </w:r>
          </w:p>
        </w:tc>
        <w:tc>
          <w:tcPr>
            <w:tcW w:w="541" w:type="dxa"/>
            <w:vAlign w:val="center"/>
          </w:tcPr>
          <w:p w14:paraId="77701B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567" w:type="dxa"/>
            <w:vAlign w:val="center"/>
          </w:tcPr>
          <w:p w14:paraId="64E767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567" w:type="dxa"/>
            <w:vAlign w:val="center"/>
          </w:tcPr>
          <w:p w14:paraId="482D807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687" w:type="dxa"/>
            <w:vAlign w:val="center"/>
          </w:tcPr>
          <w:p w14:paraId="2230E0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338" w:type="dxa"/>
            <w:vAlign w:val="center"/>
          </w:tcPr>
          <w:p w14:paraId="480446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675" w:type="dxa"/>
            <w:vAlign w:val="center"/>
          </w:tcPr>
          <w:p w14:paraId="3CF3430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759365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70</w:t>
            </w:r>
          </w:p>
        </w:tc>
        <w:tc>
          <w:tcPr>
            <w:tcW w:w="675" w:type="dxa"/>
            <w:vAlign w:val="center"/>
          </w:tcPr>
          <w:p w14:paraId="23144A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5" w:type="dxa"/>
            <w:vAlign w:val="center"/>
          </w:tcPr>
          <w:p w14:paraId="08FE20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5" w:type="dxa"/>
            <w:vAlign w:val="center"/>
          </w:tcPr>
          <w:p w14:paraId="0741DD9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1335ABB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42" w:type="dxa"/>
            <w:vAlign w:val="center"/>
          </w:tcPr>
          <w:p w14:paraId="1FF33CE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15DB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gridSpan w:val="2"/>
            <w:vAlign w:val="center"/>
          </w:tcPr>
          <w:p w14:paraId="6E36D43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超低意见</w:t>
            </w:r>
          </w:p>
        </w:tc>
        <w:tc>
          <w:tcPr>
            <w:tcW w:w="541" w:type="dxa"/>
            <w:vAlign w:val="center"/>
          </w:tcPr>
          <w:p w14:paraId="1655D5C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567" w:type="dxa"/>
            <w:vAlign w:val="center"/>
          </w:tcPr>
          <w:p w14:paraId="2F7890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567" w:type="dxa"/>
            <w:vAlign w:val="center"/>
          </w:tcPr>
          <w:p w14:paraId="5F2F09E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687" w:type="dxa"/>
            <w:vAlign w:val="center"/>
          </w:tcPr>
          <w:p w14:paraId="572D857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w:t>
            </w:r>
          </w:p>
        </w:tc>
        <w:tc>
          <w:tcPr>
            <w:tcW w:w="338" w:type="dxa"/>
            <w:vAlign w:val="center"/>
          </w:tcPr>
          <w:p w14:paraId="6A154F6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675" w:type="dxa"/>
            <w:vAlign w:val="center"/>
          </w:tcPr>
          <w:p w14:paraId="0DEC52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3DB990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70</w:t>
            </w:r>
          </w:p>
        </w:tc>
        <w:tc>
          <w:tcPr>
            <w:tcW w:w="675" w:type="dxa"/>
            <w:vAlign w:val="center"/>
          </w:tcPr>
          <w:p w14:paraId="7399C0D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5" w:type="dxa"/>
            <w:vAlign w:val="center"/>
          </w:tcPr>
          <w:p w14:paraId="755A1B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5" w:type="dxa"/>
            <w:vAlign w:val="center"/>
          </w:tcPr>
          <w:p w14:paraId="0071B5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2AC5C0E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42" w:type="dxa"/>
            <w:vAlign w:val="center"/>
          </w:tcPr>
          <w:p w14:paraId="677825D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r w14:paraId="5BFF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gridSpan w:val="2"/>
            <w:vAlign w:val="center"/>
          </w:tcPr>
          <w:p w14:paraId="07A19B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宝钢股份在线监测（95百分位时段数值）</w:t>
            </w:r>
          </w:p>
        </w:tc>
        <w:tc>
          <w:tcPr>
            <w:tcW w:w="541" w:type="dxa"/>
            <w:vAlign w:val="center"/>
          </w:tcPr>
          <w:p w14:paraId="0AA31A1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5.34</w:t>
            </w:r>
          </w:p>
        </w:tc>
        <w:tc>
          <w:tcPr>
            <w:tcW w:w="567" w:type="dxa"/>
            <w:vAlign w:val="center"/>
          </w:tcPr>
          <w:p w14:paraId="4B4CD98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30.16</w:t>
            </w:r>
          </w:p>
        </w:tc>
        <w:tc>
          <w:tcPr>
            <w:tcW w:w="567" w:type="dxa"/>
            <w:vAlign w:val="center"/>
          </w:tcPr>
          <w:p w14:paraId="0778A16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127.62</w:t>
            </w:r>
          </w:p>
        </w:tc>
        <w:tc>
          <w:tcPr>
            <w:tcW w:w="687" w:type="dxa"/>
            <w:vAlign w:val="center"/>
          </w:tcPr>
          <w:p w14:paraId="5D2BAC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338" w:type="dxa"/>
            <w:vAlign w:val="center"/>
          </w:tcPr>
          <w:p w14:paraId="7C7BD7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675" w:type="dxa"/>
            <w:vAlign w:val="center"/>
          </w:tcPr>
          <w:p w14:paraId="212395B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2.91</w:t>
            </w:r>
          </w:p>
        </w:tc>
        <w:tc>
          <w:tcPr>
            <w:tcW w:w="674" w:type="dxa"/>
            <w:vAlign w:val="center"/>
          </w:tcPr>
          <w:p w14:paraId="455C554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8.00</w:t>
            </w:r>
          </w:p>
        </w:tc>
        <w:tc>
          <w:tcPr>
            <w:tcW w:w="675" w:type="dxa"/>
            <w:vAlign w:val="center"/>
          </w:tcPr>
          <w:p w14:paraId="06C003B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5.8</w:t>
            </w:r>
          </w:p>
        </w:tc>
        <w:tc>
          <w:tcPr>
            <w:tcW w:w="675" w:type="dxa"/>
            <w:vAlign w:val="center"/>
          </w:tcPr>
          <w:p w14:paraId="7D809D4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22.83</w:t>
            </w:r>
          </w:p>
        </w:tc>
        <w:tc>
          <w:tcPr>
            <w:tcW w:w="675" w:type="dxa"/>
            <w:vAlign w:val="center"/>
          </w:tcPr>
          <w:p w14:paraId="06CCC4F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3.77</w:t>
            </w:r>
          </w:p>
        </w:tc>
        <w:tc>
          <w:tcPr>
            <w:tcW w:w="674" w:type="dxa"/>
            <w:vAlign w:val="center"/>
          </w:tcPr>
          <w:p w14:paraId="40009869">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41.38</w:t>
            </w:r>
          </w:p>
        </w:tc>
        <w:tc>
          <w:tcPr>
            <w:tcW w:w="642" w:type="dxa"/>
            <w:vAlign w:val="center"/>
          </w:tcPr>
          <w:p w14:paraId="5633628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r>
      <w:tr w14:paraId="1B79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81" w:type="dxa"/>
            <w:gridSpan w:val="2"/>
            <w:vAlign w:val="center"/>
          </w:tcPr>
          <w:p w14:paraId="568034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拟定排放限值</w:t>
            </w:r>
          </w:p>
        </w:tc>
        <w:tc>
          <w:tcPr>
            <w:tcW w:w="541" w:type="dxa"/>
            <w:vAlign w:val="center"/>
          </w:tcPr>
          <w:p w14:paraId="3D75DCB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567" w:type="dxa"/>
            <w:vAlign w:val="center"/>
          </w:tcPr>
          <w:p w14:paraId="6C7F15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567" w:type="dxa"/>
            <w:vAlign w:val="center"/>
          </w:tcPr>
          <w:p w14:paraId="020D34D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130</w:t>
            </w:r>
          </w:p>
        </w:tc>
        <w:tc>
          <w:tcPr>
            <w:tcW w:w="687" w:type="dxa"/>
            <w:vAlign w:val="center"/>
          </w:tcPr>
          <w:p w14:paraId="648D150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22"/>
                <w:szCs w:val="20"/>
              </w:rPr>
            </w:pPr>
            <w:r>
              <w:rPr>
                <w:rFonts w:hint="eastAsia" w:ascii="Times New Roman" w:hAnsi="Times New Roman" w:cs="Times New Roman"/>
                <w:sz w:val="22"/>
                <w:szCs w:val="20"/>
              </w:rPr>
              <w:t>100</w:t>
            </w:r>
          </w:p>
        </w:tc>
        <w:tc>
          <w:tcPr>
            <w:tcW w:w="338" w:type="dxa"/>
            <w:vAlign w:val="center"/>
          </w:tcPr>
          <w:p w14:paraId="3F0FC2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sz w:val="22"/>
                <w:szCs w:val="20"/>
              </w:rPr>
            </w:pPr>
            <w:r>
              <w:rPr>
                <w:rFonts w:hint="eastAsia" w:ascii="Times New Roman" w:hAnsi="Times New Roman" w:cs="Times New Roman"/>
                <w:sz w:val="22"/>
                <w:szCs w:val="20"/>
              </w:rPr>
              <w:t>8</w:t>
            </w:r>
          </w:p>
        </w:tc>
        <w:tc>
          <w:tcPr>
            <w:tcW w:w="675" w:type="dxa"/>
            <w:vAlign w:val="center"/>
          </w:tcPr>
          <w:p w14:paraId="3195B7B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3F3EAFAA">
            <w:pPr>
              <w:keepNext w:val="0"/>
              <w:keepLines w:val="0"/>
              <w:widowControl/>
              <w:suppressLineNumbers w:val="0"/>
              <w:spacing w:before="0" w:beforeAutospacing="0" w:after="0" w:afterAutospacing="0" w:line="360" w:lineRule="auto"/>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lang w:val="en-US" w:eastAsia="zh-CN"/>
              </w:rPr>
              <w:t>4</w:t>
            </w:r>
            <w:r>
              <w:rPr>
                <w:rFonts w:hint="eastAsia" w:ascii="Times New Roman" w:hAnsi="Times New Roman" w:cs="Times New Roman"/>
                <w:color w:val="000000"/>
                <w:sz w:val="22"/>
                <w:szCs w:val="20"/>
              </w:rPr>
              <w:t>0</w:t>
            </w:r>
          </w:p>
        </w:tc>
        <w:tc>
          <w:tcPr>
            <w:tcW w:w="675" w:type="dxa"/>
            <w:vAlign w:val="center"/>
          </w:tcPr>
          <w:p w14:paraId="749A357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5" w:type="dxa"/>
            <w:vAlign w:val="center"/>
          </w:tcPr>
          <w:p w14:paraId="0BED326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w:t>
            </w:r>
          </w:p>
        </w:tc>
        <w:tc>
          <w:tcPr>
            <w:tcW w:w="675" w:type="dxa"/>
            <w:vAlign w:val="center"/>
          </w:tcPr>
          <w:p w14:paraId="1FB13F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674" w:type="dxa"/>
            <w:vAlign w:val="center"/>
          </w:tcPr>
          <w:p w14:paraId="2EAEE4B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642" w:type="dxa"/>
            <w:vAlign w:val="center"/>
          </w:tcPr>
          <w:p w14:paraId="5E679C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bl>
    <w:p w14:paraId="437C37C0">
      <w:pPr>
        <w:pStyle w:val="13"/>
        <w:spacing w:line="360" w:lineRule="auto"/>
        <w:ind w:firstLine="480"/>
        <w:jc w:val="both"/>
        <w:rPr>
          <w:rFonts w:ascii="Times New Roman" w:hAnsi="Times New Roman"/>
        </w:rPr>
      </w:pPr>
      <w:r>
        <w:rPr>
          <w:rFonts w:ascii="Times New Roman" w:hAnsi="Times New Roman"/>
        </w:rPr>
        <w:t>根据表6-2，宝钢股份上一周期年度焦化工序各废气颗粒物、二氧化硫、氮氧化物浓度95%时段数值均低于拟定排放限值。因此，本次标准拟确定排放限值与河北、</w:t>
      </w:r>
      <w:r>
        <w:rPr>
          <w:rFonts w:hint="eastAsia" w:ascii="Times New Roman" w:hAnsi="Times New Roman"/>
        </w:rPr>
        <w:t>山东</w:t>
      </w:r>
      <w:r>
        <w:rPr>
          <w:rFonts w:ascii="Times New Roman" w:hAnsi="Times New Roman"/>
        </w:rPr>
        <w:t>排放标准中焦化工序颗粒物、二氧化硫</w:t>
      </w:r>
      <w:r>
        <w:rPr>
          <w:rFonts w:hint="eastAsia" w:ascii="Times New Roman" w:hAnsi="Times New Roman"/>
        </w:rPr>
        <w:t>、氮氧化物</w:t>
      </w:r>
      <w:r>
        <w:rPr>
          <w:rFonts w:ascii="Times New Roman" w:hAnsi="Times New Roman"/>
        </w:rPr>
        <w:t>大气污染物排放限值、《焦化超低意见》中限值浓度基本保持一致。</w:t>
      </w:r>
    </w:p>
    <w:p w14:paraId="56EC9DDE">
      <w:pPr>
        <w:pStyle w:val="37"/>
        <w:spacing w:before="0" w:beforeLines="0"/>
        <w:ind w:left="561"/>
      </w:pPr>
      <w:bookmarkStart w:id="146" w:name="_Toc217058318"/>
      <w:r>
        <w:t>6.3 炼铁工序</w:t>
      </w:r>
      <w:bookmarkEnd w:id="146"/>
    </w:p>
    <w:p w14:paraId="4A0169A7">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表6-3  炼铁工序大气污染物排放相关标准比较（mg/m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224"/>
        <w:gridCol w:w="991"/>
        <w:gridCol w:w="987"/>
        <w:gridCol w:w="993"/>
        <w:gridCol w:w="981"/>
        <w:gridCol w:w="1486"/>
      </w:tblGrid>
      <w:tr w14:paraId="5271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01" w:type="dxa"/>
            <w:gridSpan w:val="2"/>
            <w:vMerge w:val="restart"/>
            <w:vAlign w:val="center"/>
          </w:tcPr>
          <w:p w14:paraId="7002D4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标准</w:t>
            </w:r>
          </w:p>
        </w:tc>
        <w:tc>
          <w:tcPr>
            <w:tcW w:w="2893" w:type="dxa"/>
            <w:gridSpan w:val="3"/>
            <w:vAlign w:val="center"/>
          </w:tcPr>
          <w:p w14:paraId="142D05F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热风炉烟气</w:t>
            </w:r>
          </w:p>
        </w:tc>
        <w:tc>
          <w:tcPr>
            <w:tcW w:w="955" w:type="dxa"/>
            <w:vAlign w:val="center"/>
          </w:tcPr>
          <w:p w14:paraId="76E97B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高炉出铁场</w:t>
            </w:r>
          </w:p>
        </w:tc>
        <w:tc>
          <w:tcPr>
            <w:tcW w:w="1447" w:type="dxa"/>
            <w:vAlign w:val="center"/>
          </w:tcPr>
          <w:p w14:paraId="55EE99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原料系统、煤粉系统及其他生产设施</w:t>
            </w:r>
          </w:p>
        </w:tc>
      </w:tr>
      <w:tr w14:paraId="2AB8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01" w:type="dxa"/>
            <w:gridSpan w:val="2"/>
            <w:vMerge w:val="continue"/>
            <w:vAlign w:val="center"/>
          </w:tcPr>
          <w:p w14:paraId="7D7BA8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965" w:type="dxa"/>
            <w:vAlign w:val="center"/>
          </w:tcPr>
          <w:p w14:paraId="7504B4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961" w:type="dxa"/>
            <w:vAlign w:val="center"/>
          </w:tcPr>
          <w:p w14:paraId="602355C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二氧化硫</w:t>
            </w:r>
          </w:p>
        </w:tc>
        <w:tc>
          <w:tcPr>
            <w:tcW w:w="967" w:type="dxa"/>
            <w:vAlign w:val="center"/>
          </w:tcPr>
          <w:p w14:paraId="190D27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氮氧化物</w:t>
            </w:r>
          </w:p>
        </w:tc>
        <w:tc>
          <w:tcPr>
            <w:tcW w:w="955" w:type="dxa"/>
            <w:vAlign w:val="center"/>
          </w:tcPr>
          <w:p w14:paraId="0B8B327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1447" w:type="dxa"/>
            <w:vAlign w:val="center"/>
          </w:tcPr>
          <w:p w14:paraId="32EDA6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r>
      <w:tr w14:paraId="2BDC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vAlign w:val="center"/>
          </w:tcPr>
          <w:p w14:paraId="06DE83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国家标准（GB28663-2012）</w:t>
            </w:r>
          </w:p>
        </w:tc>
        <w:tc>
          <w:tcPr>
            <w:tcW w:w="1142" w:type="dxa"/>
            <w:vAlign w:val="center"/>
          </w:tcPr>
          <w:p w14:paraId="5F6D87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特别排放限值</w:t>
            </w:r>
          </w:p>
        </w:tc>
        <w:tc>
          <w:tcPr>
            <w:tcW w:w="965" w:type="dxa"/>
            <w:vAlign w:val="center"/>
          </w:tcPr>
          <w:p w14:paraId="0CF008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w:t>
            </w:r>
          </w:p>
        </w:tc>
        <w:tc>
          <w:tcPr>
            <w:tcW w:w="961" w:type="dxa"/>
            <w:vAlign w:val="center"/>
          </w:tcPr>
          <w:p w14:paraId="6D3B5C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100</w:t>
            </w:r>
          </w:p>
        </w:tc>
        <w:tc>
          <w:tcPr>
            <w:tcW w:w="967" w:type="dxa"/>
            <w:vAlign w:val="center"/>
          </w:tcPr>
          <w:p w14:paraId="67B5A7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300</w:t>
            </w:r>
          </w:p>
        </w:tc>
        <w:tc>
          <w:tcPr>
            <w:tcW w:w="955" w:type="dxa"/>
            <w:vAlign w:val="center"/>
          </w:tcPr>
          <w:p w14:paraId="3F9A6C5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303FEFA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181E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1" w:type="dxa"/>
            <w:gridSpan w:val="2"/>
            <w:vAlign w:val="center"/>
          </w:tcPr>
          <w:p w14:paraId="3DB024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河北省标准</w:t>
            </w:r>
          </w:p>
          <w:p w14:paraId="41568A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（DB13/2169-2018）</w:t>
            </w:r>
          </w:p>
        </w:tc>
        <w:tc>
          <w:tcPr>
            <w:tcW w:w="965" w:type="dxa"/>
            <w:vAlign w:val="center"/>
          </w:tcPr>
          <w:p w14:paraId="1AFD189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61" w:type="dxa"/>
            <w:vAlign w:val="center"/>
          </w:tcPr>
          <w:p w14:paraId="7C8D8F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967" w:type="dxa"/>
            <w:vAlign w:val="center"/>
          </w:tcPr>
          <w:p w14:paraId="09D5A40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955" w:type="dxa"/>
            <w:vAlign w:val="center"/>
          </w:tcPr>
          <w:p w14:paraId="736ADEF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3A3E509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70EE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1" w:type="dxa"/>
            <w:gridSpan w:val="2"/>
            <w:vAlign w:val="center"/>
          </w:tcPr>
          <w:p w14:paraId="5CE808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山东省标准</w:t>
            </w:r>
          </w:p>
          <w:p w14:paraId="38E88E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（DB37/990-2019）</w:t>
            </w:r>
          </w:p>
        </w:tc>
        <w:tc>
          <w:tcPr>
            <w:tcW w:w="965" w:type="dxa"/>
            <w:vAlign w:val="center"/>
          </w:tcPr>
          <w:p w14:paraId="6E393BE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61" w:type="dxa"/>
            <w:vAlign w:val="center"/>
          </w:tcPr>
          <w:p w14:paraId="796B130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967" w:type="dxa"/>
            <w:vAlign w:val="center"/>
          </w:tcPr>
          <w:p w14:paraId="1FA7969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955" w:type="dxa"/>
            <w:vAlign w:val="center"/>
          </w:tcPr>
          <w:p w14:paraId="1EDCD86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20EBAF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524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1" w:type="dxa"/>
            <w:gridSpan w:val="2"/>
            <w:vAlign w:val="center"/>
          </w:tcPr>
          <w:p w14:paraId="394FD0D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河南省标准</w:t>
            </w:r>
          </w:p>
          <w:p w14:paraId="3B26DF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（DB41/1954-2020）</w:t>
            </w:r>
          </w:p>
        </w:tc>
        <w:tc>
          <w:tcPr>
            <w:tcW w:w="965" w:type="dxa"/>
            <w:vAlign w:val="center"/>
          </w:tcPr>
          <w:p w14:paraId="132ADE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61" w:type="dxa"/>
            <w:vAlign w:val="center"/>
          </w:tcPr>
          <w:p w14:paraId="535158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967" w:type="dxa"/>
            <w:vAlign w:val="center"/>
          </w:tcPr>
          <w:p w14:paraId="3E60FC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150</w:t>
            </w:r>
          </w:p>
        </w:tc>
        <w:tc>
          <w:tcPr>
            <w:tcW w:w="955" w:type="dxa"/>
            <w:vAlign w:val="center"/>
          </w:tcPr>
          <w:p w14:paraId="6BC1B82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535734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026D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1" w:type="dxa"/>
            <w:gridSpan w:val="2"/>
            <w:vAlign w:val="center"/>
          </w:tcPr>
          <w:p w14:paraId="09D864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山西省标准</w:t>
            </w:r>
          </w:p>
          <w:p w14:paraId="791C82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（DB14/2249-2020）</w:t>
            </w:r>
          </w:p>
        </w:tc>
        <w:tc>
          <w:tcPr>
            <w:tcW w:w="965" w:type="dxa"/>
            <w:vAlign w:val="center"/>
          </w:tcPr>
          <w:p w14:paraId="0F81018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61" w:type="dxa"/>
            <w:vAlign w:val="center"/>
          </w:tcPr>
          <w:p w14:paraId="64BA9B2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967" w:type="dxa"/>
            <w:vAlign w:val="center"/>
          </w:tcPr>
          <w:p w14:paraId="7EF256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w:t>
            </w:r>
          </w:p>
        </w:tc>
        <w:tc>
          <w:tcPr>
            <w:tcW w:w="955" w:type="dxa"/>
            <w:vAlign w:val="center"/>
          </w:tcPr>
          <w:p w14:paraId="467D29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7754BC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6A8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1" w:type="dxa"/>
            <w:gridSpan w:val="2"/>
            <w:vAlign w:val="center"/>
          </w:tcPr>
          <w:p w14:paraId="3E9983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w:t>
            </w:r>
          </w:p>
          <w:p w14:paraId="2C0496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（DB12/1120-2022）</w:t>
            </w:r>
          </w:p>
        </w:tc>
        <w:tc>
          <w:tcPr>
            <w:tcW w:w="965" w:type="dxa"/>
            <w:vAlign w:val="center"/>
          </w:tcPr>
          <w:p w14:paraId="6884527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61" w:type="dxa"/>
            <w:vAlign w:val="center"/>
          </w:tcPr>
          <w:p w14:paraId="2CBC63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967" w:type="dxa"/>
            <w:vAlign w:val="center"/>
          </w:tcPr>
          <w:p w14:paraId="3802528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w:t>
            </w:r>
          </w:p>
        </w:tc>
        <w:tc>
          <w:tcPr>
            <w:tcW w:w="955" w:type="dxa"/>
            <w:vAlign w:val="center"/>
          </w:tcPr>
          <w:p w14:paraId="3DD2D6F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577B78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7A38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1" w:type="dxa"/>
            <w:gridSpan w:val="2"/>
            <w:vAlign w:val="center"/>
          </w:tcPr>
          <w:p w14:paraId="224115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辽宁省标准</w:t>
            </w:r>
          </w:p>
          <w:p w14:paraId="3CE1C8D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（DB21/4119-2025）</w:t>
            </w:r>
          </w:p>
        </w:tc>
        <w:tc>
          <w:tcPr>
            <w:tcW w:w="965" w:type="dxa"/>
            <w:vAlign w:val="center"/>
          </w:tcPr>
          <w:p w14:paraId="21E7F8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61" w:type="dxa"/>
            <w:vAlign w:val="center"/>
          </w:tcPr>
          <w:p w14:paraId="0231675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967" w:type="dxa"/>
            <w:vAlign w:val="center"/>
          </w:tcPr>
          <w:p w14:paraId="180ED79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w:t>
            </w:r>
          </w:p>
        </w:tc>
        <w:tc>
          <w:tcPr>
            <w:tcW w:w="955" w:type="dxa"/>
            <w:vAlign w:val="center"/>
          </w:tcPr>
          <w:p w14:paraId="63994B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026920D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29AF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1" w:type="dxa"/>
            <w:gridSpan w:val="2"/>
            <w:vAlign w:val="center"/>
          </w:tcPr>
          <w:p w14:paraId="65B8370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超低意见</w:t>
            </w:r>
          </w:p>
        </w:tc>
        <w:tc>
          <w:tcPr>
            <w:tcW w:w="965" w:type="dxa"/>
            <w:vAlign w:val="center"/>
          </w:tcPr>
          <w:p w14:paraId="0FF2C1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61" w:type="dxa"/>
            <w:vAlign w:val="center"/>
          </w:tcPr>
          <w:p w14:paraId="319ABB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967" w:type="dxa"/>
            <w:vAlign w:val="center"/>
          </w:tcPr>
          <w:p w14:paraId="72BB1B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200</w:t>
            </w:r>
          </w:p>
        </w:tc>
        <w:tc>
          <w:tcPr>
            <w:tcW w:w="955" w:type="dxa"/>
            <w:vAlign w:val="center"/>
          </w:tcPr>
          <w:p w14:paraId="6E6D74D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72F4E70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D9B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1" w:type="dxa"/>
            <w:gridSpan w:val="2"/>
            <w:vAlign w:val="center"/>
          </w:tcPr>
          <w:p w14:paraId="020CA76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宝钢股份在线监测</w:t>
            </w:r>
          </w:p>
          <w:p w14:paraId="77ED07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（95百分位时段数值）</w:t>
            </w:r>
          </w:p>
        </w:tc>
        <w:tc>
          <w:tcPr>
            <w:tcW w:w="965" w:type="dxa"/>
            <w:vAlign w:val="center"/>
          </w:tcPr>
          <w:p w14:paraId="6FF2F0B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4.52</w:t>
            </w:r>
          </w:p>
        </w:tc>
        <w:tc>
          <w:tcPr>
            <w:tcW w:w="961" w:type="dxa"/>
            <w:vAlign w:val="center"/>
          </w:tcPr>
          <w:p w14:paraId="4F500FA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46.40</w:t>
            </w:r>
          </w:p>
        </w:tc>
        <w:tc>
          <w:tcPr>
            <w:tcW w:w="967" w:type="dxa"/>
            <w:vAlign w:val="center"/>
          </w:tcPr>
          <w:p w14:paraId="1200673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145.08</w:t>
            </w:r>
          </w:p>
        </w:tc>
        <w:tc>
          <w:tcPr>
            <w:tcW w:w="955" w:type="dxa"/>
            <w:vAlign w:val="center"/>
          </w:tcPr>
          <w:p w14:paraId="27CA731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4.52</w:t>
            </w:r>
          </w:p>
        </w:tc>
        <w:tc>
          <w:tcPr>
            <w:tcW w:w="1447" w:type="dxa"/>
            <w:vAlign w:val="center"/>
          </w:tcPr>
          <w:p w14:paraId="16C68A5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5.59</w:t>
            </w:r>
          </w:p>
        </w:tc>
      </w:tr>
      <w:tr w14:paraId="51A7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001" w:type="dxa"/>
            <w:gridSpan w:val="2"/>
            <w:vAlign w:val="center"/>
          </w:tcPr>
          <w:p w14:paraId="21ACED9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拟定排放限值</w:t>
            </w:r>
          </w:p>
        </w:tc>
        <w:tc>
          <w:tcPr>
            <w:tcW w:w="965" w:type="dxa"/>
            <w:vAlign w:val="center"/>
          </w:tcPr>
          <w:p w14:paraId="171ED0F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961" w:type="dxa"/>
            <w:vAlign w:val="center"/>
          </w:tcPr>
          <w:p w14:paraId="04C1FE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967" w:type="dxa"/>
            <w:vAlign w:val="center"/>
          </w:tcPr>
          <w:p w14:paraId="74CDE63F">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FF0000"/>
                <w:sz w:val="22"/>
                <w:szCs w:val="20"/>
                <w:lang w:val="en-US" w:eastAsia="zh-CN"/>
              </w:rPr>
            </w:pPr>
            <w:r>
              <w:rPr>
                <w:rFonts w:hint="eastAsia" w:ascii="Times New Roman" w:hAnsi="Times New Roman" w:cs="Times New Roman"/>
                <w:sz w:val="22"/>
                <w:szCs w:val="20"/>
                <w:lang w:val="en-US" w:eastAsia="zh-CN"/>
              </w:rPr>
              <w:t>150（100）</w:t>
            </w:r>
          </w:p>
        </w:tc>
        <w:tc>
          <w:tcPr>
            <w:tcW w:w="955" w:type="dxa"/>
            <w:vAlign w:val="center"/>
          </w:tcPr>
          <w:p w14:paraId="67F16D8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1447" w:type="dxa"/>
            <w:vAlign w:val="center"/>
          </w:tcPr>
          <w:p w14:paraId="3D94100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bl>
    <w:p w14:paraId="1C380571">
      <w:pPr>
        <w:pStyle w:val="13"/>
        <w:spacing w:line="360" w:lineRule="auto"/>
        <w:ind w:firstLine="482"/>
        <w:jc w:val="both"/>
        <w:rPr>
          <w:rFonts w:ascii="Times New Roman" w:hAnsi="Times New Roman"/>
        </w:rPr>
      </w:pPr>
      <w:r>
        <w:rPr>
          <w:rFonts w:ascii="Times New Roman" w:hAnsi="Times New Roman"/>
        </w:rPr>
        <w:t>根据表6-3，宝钢股份上一周期年度炼铁工序各废气颗粒物、二氧化硫、氮氧化物浓度95%时段数值均低于拟定排放限值。本次标准考虑与河北、山东、河南三个省市钢铁排放标准氮氧化物排放限值保持一致，较《超低意见》进行加严。其他排放限值与各省份、《超低意见》限值要求保持一致。</w:t>
      </w:r>
      <w:r>
        <w:rPr>
          <w:rFonts w:hint="eastAsia" w:ascii="Times New Roman" w:hAnsi="Times New Roman"/>
        </w:rPr>
        <w:t>对于新建高炉项目（含改建、扩建），相应热风炉排放烟气中氮氧化物执行100</w:t>
      </w:r>
      <w:r>
        <w:rPr>
          <w:rFonts w:hint="eastAsia" w:ascii="Times New Roman" w:hAnsi="Times New Roman"/>
          <w:lang w:val="en-US" w:eastAsia="zh-CN"/>
        </w:rPr>
        <w:t xml:space="preserve"> </w:t>
      </w:r>
      <w:r>
        <w:rPr>
          <w:rFonts w:hint="eastAsia" w:ascii="Times New Roman" w:hAnsi="Times New Roman"/>
        </w:rPr>
        <w:t>mg/m</w:t>
      </w:r>
      <w:r>
        <w:rPr>
          <w:rFonts w:hint="eastAsia" w:ascii="Times New Roman" w:hAnsi="Times New Roman"/>
          <w:vertAlign w:val="superscript"/>
        </w:rPr>
        <w:t>3</w:t>
      </w:r>
      <w:r>
        <w:rPr>
          <w:rFonts w:hint="eastAsia" w:ascii="Times New Roman" w:hAnsi="Times New Roman"/>
        </w:rPr>
        <w:t>限值。</w:t>
      </w:r>
    </w:p>
    <w:p w14:paraId="37744220">
      <w:pPr>
        <w:pStyle w:val="37"/>
        <w:spacing w:before="0" w:beforeLines="0"/>
        <w:ind w:left="561"/>
      </w:pPr>
      <w:bookmarkStart w:id="147" w:name="_Toc217058319"/>
      <w:r>
        <w:t>6.4 炼钢工序</w:t>
      </w:r>
      <w:bookmarkEnd w:id="147"/>
    </w:p>
    <w:p w14:paraId="03DC4BCC">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表6-4  炼钢工序大气污染物排放相关标准比较（mg/m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826"/>
        <w:gridCol w:w="570"/>
        <w:gridCol w:w="1077"/>
        <w:gridCol w:w="711"/>
        <w:gridCol w:w="1463"/>
        <w:gridCol w:w="712"/>
        <w:gridCol w:w="712"/>
        <w:gridCol w:w="710"/>
      </w:tblGrid>
      <w:tr w14:paraId="77D6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19" w:type="pct"/>
            <w:gridSpan w:val="2"/>
            <w:vMerge w:val="restart"/>
            <w:vAlign w:val="center"/>
          </w:tcPr>
          <w:p w14:paraId="48CA70A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标准</w:t>
            </w:r>
          </w:p>
        </w:tc>
        <w:tc>
          <w:tcPr>
            <w:tcW w:w="461" w:type="pct"/>
            <w:vAlign w:val="center"/>
          </w:tcPr>
          <w:p w14:paraId="5C3DE60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转炉一次</w:t>
            </w:r>
          </w:p>
        </w:tc>
        <w:tc>
          <w:tcPr>
            <w:tcW w:w="716" w:type="pct"/>
            <w:vAlign w:val="center"/>
          </w:tcPr>
          <w:p w14:paraId="5F0F257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混铁炉、铁水预处理（含倒罐、扒渣）、转炉二次、精炼炉</w:t>
            </w:r>
          </w:p>
        </w:tc>
        <w:tc>
          <w:tcPr>
            <w:tcW w:w="1002" w:type="pct"/>
            <w:gridSpan w:val="2"/>
            <w:vAlign w:val="center"/>
          </w:tcPr>
          <w:p w14:paraId="759CDC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电炉</w:t>
            </w:r>
          </w:p>
        </w:tc>
        <w:tc>
          <w:tcPr>
            <w:tcW w:w="501" w:type="pct"/>
            <w:vAlign w:val="center"/>
          </w:tcPr>
          <w:p w14:paraId="14F4B74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连铸切割及火焰清理</w:t>
            </w:r>
          </w:p>
        </w:tc>
        <w:tc>
          <w:tcPr>
            <w:tcW w:w="501" w:type="pct"/>
            <w:vAlign w:val="center"/>
          </w:tcPr>
          <w:p w14:paraId="22E0FB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钢渣处理</w:t>
            </w:r>
          </w:p>
        </w:tc>
        <w:tc>
          <w:tcPr>
            <w:tcW w:w="501" w:type="pct"/>
            <w:vAlign w:val="center"/>
          </w:tcPr>
          <w:p w14:paraId="31138E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其他生产设备</w:t>
            </w:r>
          </w:p>
        </w:tc>
      </w:tr>
      <w:tr w14:paraId="6B81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19" w:type="pct"/>
            <w:gridSpan w:val="2"/>
            <w:vMerge w:val="continue"/>
            <w:vAlign w:val="center"/>
          </w:tcPr>
          <w:p w14:paraId="0A0E34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p>
        </w:tc>
        <w:tc>
          <w:tcPr>
            <w:tcW w:w="461" w:type="pct"/>
            <w:vAlign w:val="center"/>
          </w:tcPr>
          <w:p w14:paraId="632564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716" w:type="pct"/>
            <w:vAlign w:val="center"/>
          </w:tcPr>
          <w:p w14:paraId="0958A42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501" w:type="pct"/>
            <w:vAlign w:val="center"/>
          </w:tcPr>
          <w:p w14:paraId="0DB4BD7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501" w:type="pct"/>
            <w:vAlign w:val="center"/>
          </w:tcPr>
          <w:p w14:paraId="1C583C8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二噁英类（ng-TEQ/m3）</w:t>
            </w:r>
          </w:p>
        </w:tc>
        <w:tc>
          <w:tcPr>
            <w:tcW w:w="501" w:type="pct"/>
            <w:vAlign w:val="center"/>
          </w:tcPr>
          <w:p w14:paraId="3691882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501" w:type="pct"/>
            <w:vAlign w:val="center"/>
          </w:tcPr>
          <w:p w14:paraId="7452096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501" w:type="pct"/>
            <w:vAlign w:val="center"/>
          </w:tcPr>
          <w:p w14:paraId="5BCF71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r>
      <w:tr w14:paraId="0447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vAlign w:val="center"/>
          </w:tcPr>
          <w:p w14:paraId="0DD4BC0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国家标准（GB28664-2012）</w:t>
            </w:r>
          </w:p>
        </w:tc>
        <w:tc>
          <w:tcPr>
            <w:tcW w:w="525" w:type="pct"/>
            <w:vAlign w:val="center"/>
          </w:tcPr>
          <w:p w14:paraId="48F78A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特别排放限值</w:t>
            </w:r>
          </w:p>
        </w:tc>
        <w:tc>
          <w:tcPr>
            <w:tcW w:w="461" w:type="pct"/>
            <w:vAlign w:val="center"/>
          </w:tcPr>
          <w:p w14:paraId="197817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716" w:type="pct"/>
            <w:vAlign w:val="center"/>
          </w:tcPr>
          <w:p w14:paraId="2192467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501" w:type="pct"/>
            <w:vAlign w:val="center"/>
          </w:tcPr>
          <w:p w14:paraId="660DBB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501" w:type="pct"/>
            <w:vAlign w:val="center"/>
          </w:tcPr>
          <w:p w14:paraId="0ADEBE2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0.5</w:t>
            </w:r>
          </w:p>
        </w:tc>
        <w:tc>
          <w:tcPr>
            <w:tcW w:w="501" w:type="pct"/>
            <w:vAlign w:val="center"/>
          </w:tcPr>
          <w:p w14:paraId="635CCC1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501" w:type="pct"/>
            <w:vAlign w:val="center"/>
          </w:tcPr>
          <w:p w14:paraId="40483AC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100</w:t>
            </w:r>
          </w:p>
        </w:tc>
        <w:tc>
          <w:tcPr>
            <w:tcW w:w="501" w:type="pct"/>
            <w:vAlign w:val="center"/>
          </w:tcPr>
          <w:p w14:paraId="23FE45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r>
      <w:tr w14:paraId="73B7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5297AD0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河北省标准（DB13/2169—2018）</w:t>
            </w:r>
          </w:p>
        </w:tc>
        <w:tc>
          <w:tcPr>
            <w:tcW w:w="461" w:type="pct"/>
            <w:vAlign w:val="center"/>
          </w:tcPr>
          <w:p w14:paraId="773EF14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716" w:type="pct"/>
            <w:vAlign w:val="center"/>
          </w:tcPr>
          <w:p w14:paraId="31FC4BB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5515EBB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0A98F1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0.5</w:t>
            </w:r>
          </w:p>
        </w:tc>
        <w:tc>
          <w:tcPr>
            <w:tcW w:w="501" w:type="pct"/>
            <w:vAlign w:val="center"/>
          </w:tcPr>
          <w:p w14:paraId="6CFC4DE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57BBCDB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501" w:type="pct"/>
            <w:vAlign w:val="center"/>
          </w:tcPr>
          <w:p w14:paraId="559ED5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r>
      <w:tr w14:paraId="3742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28E398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山东省标准（DB37/990-2019）</w:t>
            </w:r>
          </w:p>
        </w:tc>
        <w:tc>
          <w:tcPr>
            <w:tcW w:w="461" w:type="pct"/>
            <w:vAlign w:val="center"/>
          </w:tcPr>
          <w:p w14:paraId="40B75C7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716" w:type="pct"/>
            <w:vAlign w:val="center"/>
          </w:tcPr>
          <w:p w14:paraId="040A27F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69A50F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25C7CC6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0.2</w:t>
            </w:r>
          </w:p>
        </w:tc>
        <w:tc>
          <w:tcPr>
            <w:tcW w:w="501" w:type="pct"/>
            <w:vAlign w:val="center"/>
          </w:tcPr>
          <w:p w14:paraId="5C807B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61DAE7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501" w:type="pct"/>
            <w:vAlign w:val="center"/>
          </w:tcPr>
          <w:p w14:paraId="62AD1EE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r>
      <w:tr w14:paraId="27D4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51F53B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河南省标准（DB41/1954-2020）</w:t>
            </w:r>
          </w:p>
        </w:tc>
        <w:tc>
          <w:tcPr>
            <w:tcW w:w="461" w:type="pct"/>
            <w:vAlign w:val="center"/>
          </w:tcPr>
          <w:p w14:paraId="58A726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716" w:type="pct"/>
            <w:vAlign w:val="center"/>
          </w:tcPr>
          <w:p w14:paraId="35CA4E3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6F48E76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66316B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0.5</w:t>
            </w:r>
          </w:p>
        </w:tc>
        <w:tc>
          <w:tcPr>
            <w:tcW w:w="501" w:type="pct"/>
            <w:vAlign w:val="center"/>
          </w:tcPr>
          <w:p w14:paraId="7A81C6D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6626DF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501" w:type="pct"/>
            <w:vAlign w:val="center"/>
          </w:tcPr>
          <w:p w14:paraId="4FE433E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r>
      <w:tr w14:paraId="39F8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16268A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山西省标准（DB14/2249-2020）</w:t>
            </w:r>
          </w:p>
        </w:tc>
        <w:tc>
          <w:tcPr>
            <w:tcW w:w="461" w:type="pct"/>
            <w:vAlign w:val="center"/>
          </w:tcPr>
          <w:p w14:paraId="3E0276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716" w:type="pct"/>
            <w:vAlign w:val="center"/>
          </w:tcPr>
          <w:p w14:paraId="530A05E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210627E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14ADE9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0.5</w:t>
            </w:r>
          </w:p>
        </w:tc>
        <w:tc>
          <w:tcPr>
            <w:tcW w:w="501" w:type="pct"/>
            <w:vAlign w:val="center"/>
          </w:tcPr>
          <w:p w14:paraId="5A6AA2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646C58B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501" w:type="pct"/>
            <w:vAlign w:val="center"/>
          </w:tcPr>
          <w:p w14:paraId="1AF6B85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r>
      <w:tr w14:paraId="7779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79D75C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天津市标准（DB12/1120-2022）</w:t>
            </w:r>
          </w:p>
        </w:tc>
        <w:tc>
          <w:tcPr>
            <w:tcW w:w="461" w:type="pct"/>
            <w:vAlign w:val="center"/>
          </w:tcPr>
          <w:p w14:paraId="5227D61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716" w:type="pct"/>
            <w:vAlign w:val="center"/>
          </w:tcPr>
          <w:p w14:paraId="2924F63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274BA18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5184B6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0.5</w:t>
            </w:r>
          </w:p>
        </w:tc>
        <w:tc>
          <w:tcPr>
            <w:tcW w:w="501" w:type="pct"/>
            <w:vAlign w:val="center"/>
          </w:tcPr>
          <w:p w14:paraId="18ABB3B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453289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501" w:type="pct"/>
            <w:vAlign w:val="center"/>
          </w:tcPr>
          <w:p w14:paraId="09BB5B2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r>
      <w:tr w14:paraId="4D85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0E2901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辽宁省标准</w:t>
            </w:r>
          </w:p>
          <w:p w14:paraId="1AA359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（DB21/4119-2025）</w:t>
            </w:r>
          </w:p>
        </w:tc>
        <w:tc>
          <w:tcPr>
            <w:tcW w:w="461" w:type="pct"/>
            <w:vAlign w:val="center"/>
          </w:tcPr>
          <w:p w14:paraId="567E41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716" w:type="pct"/>
            <w:vAlign w:val="center"/>
          </w:tcPr>
          <w:p w14:paraId="21B67D0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p w14:paraId="7E19386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15（精炼炉）</w:t>
            </w:r>
          </w:p>
        </w:tc>
        <w:tc>
          <w:tcPr>
            <w:tcW w:w="501" w:type="pct"/>
            <w:vAlign w:val="center"/>
          </w:tcPr>
          <w:p w14:paraId="0C2BA3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4DFF0F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0.5</w:t>
            </w:r>
          </w:p>
        </w:tc>
        <w:tc>
          <w:tcPr>
            <w:tcW w:w="501" w:type="pct"/>
            <w:vAlign w:val="center"/>
          </w:tcPr>
          <w:p w14:paraId="561BDB5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501" w:type="pct"/>
            <w:vAlign w:val="center"/>
          </w:tcPr>
          <w:p w14:paraId="6D96665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100</w:t>
            </w:r>
          </w:p>
        </w:tc>
        <w:tc>
          <w:tcPr>
            <w:tcW w:w="501" w:type="pct"/>
            <w:vAlign w:val="center"/>
          </w:tcPr>
          <w:p w14:paraId="6AE21C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r>
      <w:tr w14:paraId="51A7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362DD6E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超低意见</w:t>
            </w:r>
          </w:p>
        </w:tc>
        <w:tc>
          <w:tcPr>
            <w:tcW w:w="461" w:type="pct"/>
            <w:vAlign w:val="center"/>
          </w:tcPr>
          <w:p w14:paraId="09E6F7A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716" w:type="pct"/>
            <w:vAlign w:val="center"/>
          </w:tcPr>
          <w:p w14:paraId="564DB7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6E78C39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01" w:type="pct"/>
            <w:vAlign w:val="center"/>
          </w:tcPr>
          <w:p w14:paraId="688F15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01" w:type="pct"/>
            <w:vAlign w:val="center"/>
          </w:tcPr>
          <w:p w14:paraId="7CA1CF0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01" w:type="pct"/>
            <w:vAlign w:val="center"/>
          </w:tcPr>
          <w:p w14:paraId="6BD296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01" w:type="pct"/>
            <w:vAlign w:val="center"/>
          </w:tcPr>
          <w:p w14:paraId="112EC2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r>
      <w:tr w14:paraId="42E5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300ADB9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宝钢股份在线监测</w:t>
            </w:r>
          </w:p>
          <w:p w14:paraId="11CDD4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（95百分位数值）</w:t>
            </w:r>
          </w:p>
        </w:tc>
        <w:tc>
          <w:tcPr>
            <w:tcW w:w="461" w:type="pct"/>
            <w:vAlign w:val="center"/>
          </w:tcPr>
          <w:p w14:paraId="75A742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716" w:type="pct"/>
            <w:vAlign w:val="center"/>
          </w:tcPr>
          <w:p w14:paraId="1CE83E0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4.92</w:t>
            </w:r>
          </w:p>
        </w:tc>
        <w:tc>
          <w:tcPr>
            <w:tcW w:w="501" w:type="pct"/>
            <w:vAlign w:val="center"/>
          </w:tcPr>
          <w:p w14:paraId="19AAC2D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2.80</w:t>
            </w:r>
          </w:p>
        </w:tc>
        <w:tc>
          <w:tcPr>
            <w:tcW w:w="501" w:type="pct"/>
            <w:vAlign w:val="center"/>
          </w:tcPr>
          <w:p w14:paraId="36EB481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01" w:type="pct"/>
            <w:vAlign w:val="center"/>
          </w:tcPr>
          <w:p w14:paraId="4ED50D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01" w:type="pct"/>
            <w:vAlign w:val="center"/>
          </w:tcPr>
          <w:p w14:paraId="7DA853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01" w:type="pct"/>
            <w:vAlign w:val="center"/>
          </w:tcPr>
          <w:p w14:paraId="4648410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r>
      <w:tr w14:paraId="188C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19" w:type="pct"/>
            <w:gridSpan w:val="2"/>
            <w:vAlign w:val="center"/>
          </w:tcPr>
          <w:p w14:paraId="31A0BC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拟定排放限值</w:t>
            </w:r>
          </w:p>
        </w:tc>
        <w:tc>
          <w:tcPr>
            <w:tcW w:w="461" w:type="pct"/>
            <w:vAlign w:val="center"/>
          </w:tcPr>
          <w:p w14:paraId="228605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716" w:type="pct"/>
            <w:vAlign w:val="center"/>
          </w:tcPr>
          <w:p w14:paraId="5AE790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2EB249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75BF29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w:t>
            </w:r>
            <w:r>
              <w:rPr>
                <w:rFonts w:hint="eastAsia" w:ascii="Times New Roman" w:hAnsi="Times New Roman" w:cs="Times New Roman"/>
                <w:color w:val="000000"/>
                <w:sz w:val="20"/>
                <w:szCs w:val="16"/>
                <w:lang w:val="en-US" w:eastAsia="zh-CN"/>
              </w:rPr>
              <w:t>2</w:t>
            </w:r>
          </w:p>
        </w:tc>
        <w:tc>
          <w:tcPr>
            <w:tcW w:w="501" w:type="pct"/>
            <w:vAlign w:val="center"/>
          </w:tcPr>
          <w:p w14:paraId="6F49FD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501" w:type="pct"/>
            <w:vAlign w:val="center"/>
          </w:tcPr>
          <w:p w14:paraId="5CCB8E8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501" w:type="pct"/>
            <w:vAlign w:val="center"/>
          </w:tcPr>
          <w:p w14:paraId="337753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r>
    </w:tbl>
    <w:p w14:paraId="64930B48">
      <w:pPr>
        <w:pStyle w:val="13"/>
        <w:spacing w:line="360" w:lineRule="auto"/>
        <w:ind w:firstLine="480"/>
        <w:jc w:val="both"/>
        <w:rPr>
          <w:rFonts w:ascii="Times New Roman" w:hAnsi="Times New Roman"/>
        </w:rPr>
      </w:pPr>
      <w:r>
        <w:rPr>
          <w:rFonts w:ascii="Times New Roman" w:hAnsi="Times New Roman"/>
        </w:rPr>
        <w:t>根据表6-4，宝钢股份上一周期年度炼钢工序各废气颗粒物排放浓度95%时段数值均低于拟定排放限值。本标准炼钢工序混铁炉、铁水预处理（含倒罐、扒渣）、转炉二次、精炼炉、电炉、连铸切割及火焰清理限值与河北、山东、河南、天津四个省市钢铁排放标准保持一致；转炉一次、钢渣处理限值与</w:t>
      </w:r>
      <w:r>
        <w:rPr>
          <w:rFonts w:hint="eastAsia" w:ascii="Times New Roman" w:hAnsi="Times New Roman"/>
        </w:rPr>
        <w:t>山东、河南</w:t>
      </w:r>
      <w:r>
        <w:rPr>
          <w:rFonts w:ascii="Times New Roman" w:hAnsi="Times New Roman"/>
        </w:rPr>
        <w:t>省钢铁排放标准保持一致。</w:t>
      </w:r>
    </w:p>
    <w:p w14:paraId="3624275E">
      <w:pPr>
        <w:pStyle w:val="37"/>
        <w:spacing w:before="0" w:beforeLines="0"/>
        <w:ind w:left="561"/>
      </w:pPr>
      <w:r>
        <w:t>6.5 轧钢工序</w:t>
      </w:r>
    </w:p>
    <w:p w14:paraId="05925471">
      <w:pPr>
        <w:spacing w:line="360" w:lineRule="auto"/>
        <w:ind w:firstLine="480" w:firstLineChars="200"/>
        <w:jc w:val="both"/>
        <w:rPr>
          <w:rFonts w:ascii="Times New Roman" w:hAnsi="Times New Roman" w:cs="Times New Roman"/>
        </w:rPr>
      </w:pPr>
      <w:r>
        <w:rPr>
          <w:rFonts w:ascii="Times New Roman" w:hAnsi="Times New Roman" w:cs="Times New Roman"/>
        </w:rPr>
        <w:t>根据表6-5，宝钢股份上一周期年度轧钢工序各废气颗粒物、二氧化硫排放浓度95%时段数值均低于拟定排放限值。因此，本次标准限值</w:t>
      </w:r>
      <w:r>
        <w:rPr>
          <w:rFonts w:hint="eastAsia" w:ascii="Times New Roman" w:hAnsi="Times New Roman" w:cs="Times New Roman"/>
        </w:rPr>
        <w:t>颗粒物</w:t>
      </w:r>
      <w:r>
        <w:rPr>
          <w:rFonts w:ascii="Times New Roman" w:hAnsi="Times New Roman" w:cs="Times New Roman"/>
        </w:rPr>
        <w:t>、二氧化硫限值与河北、山东、河南、天津四个省市钢铁排放标准保持一致。</w:t>
      </w:r>
    </w:p>
    <w:p w14:paraId="31A1FC3F">
      <w:pPr>
        <w:spacing w:line="360" w:lineRule="auto"/>
        <w:ind w:firstLine="480" w:firstLineChars="200"/>
        <w:jc w:val="both"/>
        <w:rPr>
          <w:rFonts w:ascii="Times New Roman" w:hAnsi="Times New Roman" w:cs="Times New Roman"/>
        </w:rPr>
      </w:pPr>
      <w:r>
        <w:rPr>
          <w:rFonts w:hint="eastAsia" w:ascii="Times New Roman" w:hAnsi="Times New Roman" w:cs="Times New Roman"/>
        </w:rPr>
        <w:t>关于轧钢</w:t>
      </w:r>
      <w:r>
        <w:rPr>
          <w:rFonts w:ascii="Times New Roman" w:hAnsi="Times New Roman" w:cs="Times New Roman"/>
        </w:rPr>
        <w:t>工序热处理炉的氮氧化物排放限值</w:t>
      </w:r>
      <w:r>
        <w:rPr>
          <w:rFonts w:hint="eastAsia" w:ascii="Times New Roman" w:hAnsi="Times New Roman" w:cs="Times New Roman"/>
        </w:rPr>
        <w:t>，国家标准（</w:t>
      </w:r>
      <w:r>
        <w:rPr>
          <w:rFonts w:ascii="Times New Roman" w:hAnsi="Times New Roman" w:cs="Times New Roman"/>
        </w:rPr>
        <w:t>2012）轧钢加热炉、其他热处理炉氮氧化物排放限值分别为300 mg/m</w:t>
      </w:r>
      <w:r>
        <w:rPr>
          <w:rFonts w:ascii="Times New Roman" w:hAnsi="Times New Roman" w:cs="Times New Roman"/>
          <w:vertAlign w:val="superscript"/>
        </w:rPr>
        <w:t>3</w:t>
      </w:r>
      <w:r>
        <w:rPr>
          <w:rFonts w:ascii="Times New Roman" w:hAnsi="Times New Roman" w:cs="Times New Roman"/>
        </w:rPr>
        <w:t>、200 mg/m</w:t>
      </w:r>
      <w:r>
        <w:rPr>
          <w:rFonts w:ascii="Times New Roman" w:hAnsi="Times New Roman" w:cs="Times New Roman"/>
          <w:vertAlign w:val="superscript"/>
        </w:rPr>
        <w:t>3</w:t>
      </w:r>
      <w:r>
        <w:rPr>
          <w:rFonts w:ascii="Times New Roman" w:hAnsi="Times New Roman" w:cs="Times New Roman"/>
        </w:rPr>
        <w:t>，河北省（2018）、山东省（2019）、河南省（2020）为150 mg/m</w:t>
      </w:r>
      <w:r>
        <w:rPr>
          <w:rFonts w:ascii="Times New Roman" w:hAnsi="Times New Roman" w:cs="Times New Roman"/>
          <w:vertAlign w:val="superscript"/>
        </w:rPr>
        <w:t>3</w:t>
      </w:r>
      <w:r>
        <w:rPr>
          <w:rFonts w:ascii="Times New Roman" w:hAnsi="Times New Roman" w:cs="Times New Roman"/>
        </w:rPr>
        <w:t>，超低意见（2019）、山西省（2020）、天津市（2022）、辽宁省（2025）为200 mg/m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其中</w:t>
      </w:r>
      <w:r>
        <w:rPr>
          <w:rFonts w:ascii="Times New Roman" w:hAnsi="Times New Roman" w:cs="Times New Roman"/>
        </w:rPr>
        <w:t>最低限值为150 mg/m</w:t>
      </w:r>
      <w:r>
        <w:rPr>
          <w:rFonts w:ascii="Times New Roman" w:hAnsi="Times New Roman" w:cs="Times New Roman"/>
          <w:vertAlign w:val="superscript"/>
        </w:rPr>
        <w:t>3</w:t>
      </w:r>
      <w:r>
        <w:rPr>
          <w:rFonts w:ascii="Times New Roman" w:hAnsi="Times New Roman" w:cs="Times New Roman"/>
        </w:rPr>
        <w:t>，以上标准均未规定氨排放浓度限值。</w:t>
      </w:r>
      <w:r>
        <w:rPr>
          <w:rFonts w:hint="eastAsia" w:ascii="Times New Roman" w:hAnsi="Times New Roman" w:cs="Times New Roman"/>
        </w:rPr>
        <w:t>宝钢股份目前轧钢热处理炉采用燃用净化煤气</w:t>
      </w:r>
      <w:r>
        <w:rPr>
          <w:rFonts w:ascii="Times New Roman" w:hAnsi="Times New Roman" w:cs="Times New Roman"/>
        </w:rPr>
        <w:t>+低氮燃烧方式治理氮氧化物，未加装脱硝设施，氮氧化物95百分位数值为182.9 mg/m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超出</w:t>
      </w:r>
      <w:r>
        <w:rPr>
          <w:rFonts w:ascii="Times New Roman" w:hAnsi="Times New Roman" w:cs="Times New Roman"/>
        </w:rPr>
        <w:t>150 mg/m</w:t>
      </w:r>
      <w:r>
        <w:rPr>
          <w:rFonts w:ascii="Times New Roman" w:hAnsi="Times New Roman" w:cs="Times New Roman"/>
          <w:vertAlign w:val="superscript"/>
        </w:rPr>
        <w:t>3</w:t>
      </w:r>
      <w:r>
        <w:rPr>
          <w:rFonts w:ascii="Times New Roman" w:hAnsi="Times New Roman" w:cs="Times New Roman"/>
        </w:rPr>
        <w:t>的主要原因为启/停炉、工况波动（保温）阶段空燃比较高造成的折算浓度较高。</w:t>
      </w:r>
      <w:r>
        <w:rPr>
          <w:rFonts w:hint="eastAsia" w:ascii="Times New Roman" w:hAnsi="Times New Roman" w:cs="Times New Roman"/>
          <w:lang w:val="en-US" w:eastAsia="zh-CN"/>
        </w:rPr>
        <w:t>综合考虑，拟</w:t>
      </w:r>
      <w:r>
        <w:rPr>
          <w:rFonts w:ascii="Times New Roman" w:hAnsi="Times New Roman" w:cs="Times New Roman"/>
        </w:rPr>
        <w:t>将排放限值确定为150 mg/m</w:t>
      </w:r>
      <w:r>
        <w:rPr>
          <w:rFonts w:ascii="Times New Roman" w:hAnsi="Times New Roman" w:cs="Times New Roman"/>
          <w:vertAlign w:val="superscript"/>
        </w:rPr>
        <w:t>3</w:t>
      </w:r>
      <w:r>
        <w:rPr>
          <w:rFonts w:ascii="Times New Roman" w:hAnsi="Times New Roman" w:cs="Times New Roman"/>
        </w:rPr>
        <w:t>，</w:t>
      </w:r>
      <w:r>
        <w:rPr>
          <w:rFonts w:hint="eastAsia" w:cs="Times New Roman"/>
        </w:rPr>
        <w:t>但考虑在标准发布和实施的同时建立非正常工况标记规则并实行，对于</w:t>
      </w:r>
      <w:r>
        <w:rPr>
          <w:rFonts w:hint="eastAsia" w:cs="Times New Roman"/>
          <w:lang w:val="en-US" w:eastAsia="zh-CN"/>
        </w:rPr>
        <w:t>启停炉、工况波动等</w:t>
      </w:r>
      <w:r>
        <w:rPr>
          <w:rFonts w:hint="eastAsia" w:cs="Times New Roman"/>
        </w:rPr>
        <w:t>工况导致的超标情况予以豁免，使企业在排放稳定达标的同时保证不增加排放量</w:t>
      </w:r>
      <w:r>
        <w:rPr>
          <w:rFonts w:ascii="Times New Roman" w:hAnsi="Times New Roman" w:cs="Times New Roman"/>
        </w:rPr>
        <w:t>。</w:t>
      </w:r>
    </w:p>
    <w:p w14:paraId="363BCE97">
      <w:pPr>
        <w:spacing w:line="360" w:lineRule="auto"/>
        <w:ind w:firstLine="480" w:firstLineChars="200"/>
        <w:jc w:val="both"/>
        <w:rPr>
          <w:rFonts w:ascii="Times New Roman" w:hAnsi="Times New Roman" w:cs="Times New Roman"/>
        </w:rPr>
      </w:pPr>
      <w:r>
        <w:rPr>
          <w:rFonts w:ascii="Times New Roman" w:hAnsi="Times New Roman" w:cs="Times New Roman"/>
        </w:rPr>
        <w:t>废酸再生、涂</w:t>
      </w:r>
      <w:r>
        <w:rPr>
          <w:rFonts w:hint="eastAsia" w:ascii="Times New Roman" w:hAnsi="Times New Roman" w:cs="Times New Roman"/>
        </w:rPr>
        <w:t>（</w:t>
      </w:r>
      <w:r>
        <w:rPr>
          <w:rFonts w:ascii="Times New Roman" w:hAnsi="Times New Roman" w:cs="Times New Roman"/>
        </w:rPr>
        <w:t>镀）层机组等设施排污节点排放因子与更严的地方标准保持一致，其他均按照现行国标执行。</w:t>
      </w:r>
    </w:p>
    <w:p w14:paraId="0DFD41F7">
      <w:pPr>
        <w:spacing w:line="360" w:lineRule="auto"/>
        <w:ind w:firstLine="480" w:firstLineChars="200"/>
        <w:jc w:val="both"/>
        <w:rPr>
          <w:rFonts w:ascii="Times New Roman" w:hAnsi="Times New Roman" w:cs="Times New Roman"/>
          <w:szCs w:val="20"/>
        </w:rPr>
        <w:sectPr>
          <w:pgSz w:w="11906" w:h="16838"/>
          <w:pgMar w:top="1440" w:right="1800" w:bottom="1440" w:left="1800" w:header="851" w:footer="992" w:gutter="0"/>
          <w:cols w:space="425" w:num="1"/>
          <w:docGrid w:type="lines" w:linePitch="312" w:charSpace="0"/>
        </w:sectPr>
      </w:pPr>
    </w:p>
    <w:p w14:paraId="7832ECBA">
      <w:pPr>
        <w:spacing w:line="235" w:lineRule="auto"/>
        <w:jc w:val="center"/>
        <w:rPr>
          <w:rFonts w:ascii="Times New Roman" w:hAnsi="Times New Roman" w:cs="Times New Roman"/>
          <w:b/>
          <w:bCs/>
          <w:color w:val="000000"/>
          <w:szCs w:val="32"/>
        </w:rPr>
      </w:pPr>
      <w:r>
        <w:rPr>
          <w:rFonts w:ascii="Times New Roman" w:hAnsi="Times New Roman" w:cs="Times New Roman"/>
          <w:b/>
          <w:bCs/>
          <w:color w:val="000000"/>
          <w:szCs w:val="32"/>
        </w:rPr>
        <w:t>表6-5  轧钢工段大气污染物排放相关标准比较（mg/m</w:t>
      </w:r>
      <w:r>
        <w:rPr>
          <w:rFonts w:ascii="Times New Roman" w:hAnsi="Times New Roman" w:cs="Times New Roman"/>
          <w:b/>
          <w:bCs/>
          <w:color w:val="000000"/>
          <w:szCs w:val="32"/>
          <w:vertAlign w:val="superscript"/>
        </w:rPr>
        <w:t>3</w:t>
      </w:r>
      <w:r>
        <w:rPr>
          <w:rFonts w:ascii="Times New Roman" w:hAnsi="Times New Roman" w:cs="Times New Roman"/>
          <w:b/>
          <w:bCs/>
          <w:color w:val="000000"/>
          <w:szCs w:val="32"/>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51"/>
        <w:gridCol w:w="567"/>
        <w:gridCol w:w="737"/>
        <w:gridCol w:w="680"/>
        <w:gridCol w:w="567"/>
        <w:gridCol w:w="1065"/>
        <w:gridCol w:w="426"/>
        <w:gridCol w:w="426"/>
        <w:gridCol w:w="531"/>
        <w:gridCol w:w="532"/>
        <w:gridCol w:w="426"/>
        <w:gridCol w:w="426"/>
        <w:gridCol w:w="636"/>
        <w:gridCol w:w="531"/>
        <w:gridCol w:w="532"/>
        <w:gridCol w:w="636"/>
        <w:gridCol w:w="495"/>
        <w:gridCol w:w="462"/>
        <w:gridCol w:w="426"/>
        <w:gridCol w:w="431"/>
        <w:gridCol w:w="426"/>
        <w:gridCol w:w="459"/>
      </w:tblGrid>
      <w:tr w14:paraId="1A5F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gridSpan w:val="2"/>
            <w:vMerge w:val="restart"/>
            <w:vAlign w:val="center"/>
          </w:tcPr>
          <w:p w14:paraId="1D65E3B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标准</w:t>
            </w:r>
          </w:p>
        </w:tc>
        <w:tc>
          <w:tcPr>
            <w:tcW w:w="1984" w:type="dxa"/>
            <w:gridSpan w:val="3"/>
            <w:vAlign w:val="center"/>
          </w:tcPr>
          <w:p w14:paraId="03EF1E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加热炉、热处理炉</w:t>
            </w:r>
          </w:p>
        </w:tc>
        <w:tc>
          <w:tcPr>
            <w:tcW w:w="567" w:type="dxa"/>
            <w:vAlign w:val="center"/>
          </w:tcPr>
          <w:p w14:paraId="0A7B2E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热轧精轧机</w:t>
            </w:r>
          </w:p>
        </w:tc>
        <w:tc>
          <w:tcPr>
            <w:tcW w:w="1065" w:type="dxa"/>
            <w:vAlign w:val="center"/>
          </w:tcPr>
          <w:p w14:paraId="2B4F761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拉矫、精整、抛丸、修磨、焊接机及其他生产设施</w:t>
            </w:r>
          </w:p>
        </w:tc>
        <w:tc>
          <w:tcPr>
            <w:tcW w:w="1915" w:type="dxa"/>
            <w:gridSpan w:val="4"/>
            <w:vAlign w:val="center"/>
          </w:tcPr>
          <w:p w14:paraId="05317C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废酸再生</w:t>
            </w:r>
          </w:p>
        </w:tc>
        <w:tc>
          <w:tcPr>
            <w:tcW w:w="2551" w:type="dxa"/>
            <w:gridSpan w:val="5"/>
            <w:vAlign w:val="center"/>
          </w:tcPr>
          <w:p w14:paraId="7E3ADA4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酸洗机组</w:t>
            </w:r>
          </w:p>
        </w:tc>
        <w:tc>
          <w:tcPr>
            <w:tcW w:w="2450" w:type="dxa"/>
            <w:gridSpan w:val="5"/>
            <w:vAlign w:val="center"/>
          </w:tcPr>
          <w:p w14:paraId="1E1A4A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涂（镀）层机组</w:t>
            </w:r>
          </w:p>
        </w:tc>
        <w:tc>
          <w:tcPr>
            <w:tcW w:w="426" w:type="dxa"/>
            <w:vAlign w:val="center"/>
          </w:tcPr>
          <w:p w14:paraId="50B227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脱脂</w:t>
            </w:r>
          </w:p>
        </w:tc>
        <w:tc>
          <w:tcPr>
            <w:tcW w:w="459" w:type="dxa"/>
            <w:vAlign w:val="center"/>
          </w:tcPr>
          <w:p w14:paraId="5625224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轧制机组</w:t>
            </w:r>
          </w:p>
        </w:tc>
      </w:tr>
      <w:tr w14:paraId="548E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gridSpan w:val="2"/>
            <w:vMerge w:val="continue"/>
            <w:vAlign w:val="center"/>
          </w:tcPr>
          <w:p w14:paraId="3332DA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p>
        </w:tc>
        <w:tc>
          <w:tcPr>
            <w:tcW w:w="567" w:type="dxa"/>
            <w:vAlign w:val="center"/>
          </w:tcPr>
          <w:p w14:paraId="0B9322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737" w:type="dxa"/>
            <w:vAlign w:val="center"/>
          </w:tcPr>
          <w:p w14:paraId="55C367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二氧化硫</w:t>
            </w:r>
          </w:p>
        </w:tc>
        <w:tc>
          <w:tcPr>
            <w:tcW w:w="680" w:type="dxa"/>
            <w:vAlign w:val="center"/>
          </w:tcPr>
          <w:p w14:paraId="530AF0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氮氧化物</w:t>
            </w:r>
          </w:p>
        </w:tc>
        <w:tc>
          <w:tcPr>
            <w:tcW w:w="567" w:type="dxa"/>
            <w:vAlign w:val="center"/>
          </w:tcPr>
          <w:p w14:paraId="200F87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1065" w:type="dxa"/>
            <w:vAlign w:val="center"/>
          </w:tcPr>
          <w:p w14:paraId="4F3FDBB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426" w:type="dxa"/>
            <w:vAlign w:val="center"/>
          </w:tcPr>
          <w:p w14:paraId="14DC15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颗粒物</w:t>
            </w:r>
          </w:p>
        </w:tc>
        <w:tc>
          <w:tcPr>
            <w:tcW w:w="426" w:type="dxa"/>
            <w:vAlign w:val="center"/>
          </w:tcPr>
          <w:p w14:paraId="466D46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氯化氢</w:t>
            </w:r>
          </w:p>
        </w:tc>
        <w:tc>
          <w:tcPr>
            <w:tcW w:w="531" w:type="dxa"/>
            <w:vAlign w:val="center"/>
          </w:tcPr>
          <w:p w14:paraId="23AEC7C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硝酸雾</w:t>
            </w:r>
          </w:p>
        </w:tc>
        <w:tc>
          <w:tcPr>
            <w:tcW w:w="532" w:type="dxa"/>
            <w:vAlign w:val="center"/>
          </w:tcPr>
          <w:p w14:paraId="245E782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氟化物</w:t>
            </w:r>
          </w:p>
        </w:tc>
        <w:tc>
          <w:tcPr>
            <w:tcW w:w="426" w:type="dxa"/>
            <w:vAlign w:val="center"/>
          </w:tcPr>
          <w:p w14:paraId="68BA19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氯化氢</w:t>
            </w:r>
          </w:p>
        </w:tc>
        <w:tc>
          <w:tcPr>
            <w:tcW w:w="426" w:type="dxa"/>
            <w:vAlign w:val="center"/>
          </w:tcPr>
          <w:p w14:paraId="0B8DA3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硫酸雾</w:t>
            </w:r>
          </w:p>
        </w:tc>
        <w:tc>
          <w:tcPr>
            <w:tcW w:w="636" w:type="dxa"/>
            <w:vAlign w:val="center"/>
          </w:tcPr>
          <w:p w14:paraId="17E406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铬酸雾</w:t>
            </w:r>
          </w:p>
        </w:tc>
        <w:tc>
          <w:tcPr>
            <w:tcW w:w="531" w:type="dxa"/>
            <w:vAlign w:val="center"/>
          </w:tcPr>
          <w:p w14:paraId="6623C9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硝酸雾</w:t>
            </w:r>
          </w:p>
        </w:tc>
        <w:tc>
          <w:tcPr>
            <w:tcW w:w="532" w:type="dxa"/>
            <w:vAlign w:val="center"/>
          </w:tcPr>
          <w:p w14:paraId="4A459A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氟化物</w:t>
            </w:r>
          </w:p>
        </w:tc>
        <w:tc>
          <w:tcPr>
            <w:tcW w:w="636" w:type="dxa"/>
            <w:vAlign w:val="center"/>
          </w:tcPr>
          <w:p w14:paraId="2902EB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铬酸雾</w:t>
            </w:r>
          </w:p>
        </w:tc>
        <w:tc>
          <w:tcPr>
            <w:tcW w:w="495" w:type="dxa"/>
            <w:vAlign w:val="center"/>
          </w:tcPr>
          <w:p w14:paraId="0A353D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苯</w:t>
            </w:r>
          </w:p>
        </w:tc>
        <w:tc>
          <w:tcPr>
            <w:tcW w:w="462" w:type="dxa"/>
            <w:vAlign w:val="center"/>
          </w:tcPr>
          <w:p w14:paraId="5C63145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甲苯</w:t>
            </w:r>
          </w:p>
        </w:tc>
        <w:tc>
          <w:tcPr>
            <w:tcW w:w="426" w:type="dxa"/>
            <w:vAlign w:val="center"/>
          </w:tcPr>
          <w:p w14:paraId="754504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二甲苯</w:t>
            </w:r>
          </w:p>
        </w:tc>
        <w:tc>
          <w:tcPr>
            <w:tcW w:w="431" w:type="dxa"/>
            <w:vAlign w:val="center"/>
          </w:tcPr>
          <w:p w14:paraId="4421A3D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非甲烷总烃</w:t>
            </w:r>
          </w:p>
        </w:tc>
        <w:tc>
          <w:tcPr>
            <w:tcW w:w="426" w:type="dxa"/>
            <w:vAlign w:val="center"/>
          </w:tcPr>
          <w:p w14:paraId="779DC7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碱雾</w:t>
            </w:r>
          </w:p>
        </w:tc>
        <w:tc>
          <w:tcPr>
            <w:tcW w:w="459" w:type="dxa"/>
            <w:vAlign w:val="center"/>
          </w:tcPr>
          <w:p w14:paraId="59CB9A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油雾</w:t>
            </w:r>
          </w:p>
        </w:tc>
      </w:tr>
      <w:tr w14:paraId="49AC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7794E5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国家标准（GB28665-2012）</w:t>
            </w:r>
          </w:p>
        </w:tc>
        <w:tc>
          <w:tcPr>
            <w:tcW w:w="851" w:type="dxa"/>
            <w:vAlign w:val="center"/>
          </w:tcPr>
          <w:p w14:paraId="6F1B2F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特别排</w:t>
            </w:r>
          </w:p>
          <w:p w14:paraId="40DB6C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放限值</w:t>
            </w:r>
          </w:p>
        </w:tc>
        <w:tc>
          <w:tcPr>
            <w:tcW w:w="567" w:type="dxa"/>
            <w:vAlign w:val="center"/>
          </w:tcPr>
          <w:p w14:paraId="1D0A9E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737" w:type="dxa"/>
            <w:vAlign w:val="center"/>
          </w:tcPr>
          <w:p w14:paraId="556DA6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加热炉150</w:t>
            </w:r>
          </w:p>
          <w:p w14:paraId="10CEF12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其他100</w:t>
            </w:r>
          </w:p>
        </w:tc>
        <w:tc>
          <w:tcPr>
            <w:tcW w:w="680" w:type="dxa"/>
            <w:vAlign w:val="center"/>
          </w:tcPr>
          <w:p w14:paraId="31A2655B">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加热炉300</w:t>
            </w:r>
          </w:p>
          <w:p w14:paraId="79C055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其他200</w:t>
            </w:r>
          </w:p>
        </w:tc>
        <w:tc>
          <w:tcPr>
            <w:tcW w:w="567" w:type="dxa"/>
            <w:vAlign w:val="center"/>
          </w:tcPr>
          <w:p w14:paraId="6AE9822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1065" w:type="dxa"/>
            <w:vAlign w:val="center"/>
          </w:tcPr>
          <w:p w14:paraId="4CB2D3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37E0C1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426" w:type="dxa"/>
            <w:vAlign w:val="center"/>
          </w:tcPr>
          <w:p w14:paraId="2DA812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531" w:type="dxa"/>
            <w:vAlign w:val="center"/>
          </w:tcPr>
          <w:p w14:paraId="2D32108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240</w:t>
            </w:r>
          </w:p>
        </w:tc>
        <w:tc>
          <w:tcPr>
            <w:tcW w:w="532" w:type="dxa"/>
            <w:vAlign w:val="center"/>
          </w:tcPr>
          <w:p w14:paraId="6E3087B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9.0</w:t>
            </w:r>
          </w:p>
        </w:tc>
        <w:tc>
          <w:tcPr>
            <w:tcW w:w="426" w:type="dxa"/>
            <w:vAlign w:val="center"/>
          </w:tcPr>
          <w:p w14:paraId="03DA81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102465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636" w:type="dxa"/>
            <w:vAlign w:val="center"/>
          </w:tcPr>
          <w:p w14:paraId="46ADF00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531" w:type="dxa"/>
            <w:vAlign w:val="center"/>
          </w:tcPr>
          <w:p w14:paraId="6373B64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7224D2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636" w:type="dxa"/>
            <w:vAlign w:val="center"/>
          </w:tcPr>
          <w:p w14:paraId="516368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495" w:type="dxa"/>
            <w:vAlign w:val="center"/>
          </w:tcPr>
          <w:p w14:paraId="21C45D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62" w:type="dxa"/>
            <w:vAlign w:val="center"/>
          </w:tcPr>
          <w:p w14:paraId="1A7DB23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25</w:t>
            </w:r>
          </w:p>
        </w:tc>
        <w:tc>
          <w:tcPr>
            <w:tcW w:w="426" w:type="dxa"/>
            <w:vAlign w:val="center"/>
          </w:tcPr>
          <w:p w14:paraId="436B79F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40</w:t>
            </w:r>
          </w:p>
        </w:tc>
        <w:tc>
          <w:tcPr>
            <w:tcW w:w="431" w:type="dxa"/>
            <w:vAlign w:val="center"/>
          </w:tcPr>
          <w:p w14:paraId="258C75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2DD6EA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59" w:type="dxa"/>
            <w:vAlign w:val="center"/>
          </w:tcPr>
          <w:p w14:paraId="62CA246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r>
      <w:tr w14:paraId="300D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50C614C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河北省标准（DB13/2169-2018）</w:t>
            </w:r>
          </w:p>
        </w:tc>
        <w:tc>
          <w:tcPr>
            <w:tcW w:w="567" w:type="dxa"/>
            <w:vAlign w:val="center"/>
          </w:tcPr>
          <w:p w14:paraId="49393C5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737" w:type="dxa"/>
            <w:vAlign w:val="center"/>
          </w:tcPr>
          <w:p w14:paraId="4D0585D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680" w:type="dxa"/>
            <w:vAlign w:val="center"/>
          </w:tcPr>
          <w:p w14:paraId="51FD1AE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67" w:type="dxa"/>
            <w:vAlign w:val="center"/>
          </w:tcPr>
          <w:p w14:paraId="77C0AEE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1065" w:type="dxa"/>
            <w:vAlign w:val="center"/>
          </w:tcPr>
          <w:p w14:paraId="13E7CBD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228D01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2D001CB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531" w:type="dxa"/>
            <w:vAlign w:val="center"/>
          </w:tcPr>
          <w:p w14:paraId="79FDDB6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240</w:t>
            </w:r>
          </w:p>
        </w:tc>
        <w:tc>
          <w:tcPr>
            <w:tcW w:w="532" w:type="dxa"/>
            <w:vAlign w:val="center"/>
          </w:tcPr>
          <w:p w14:paraId="1BBE83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9.0</w:t>
            </w:r>
          </w:p>
        </w:tc>
        <w:tc>
          <w:tcPr>
            <w:tcW w:w="426" w:type="dxa"/>
            <w:vAlign w:val="center"/>
          </w:tcPr>
          <w:p w14:paraId="38157E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5229EBF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636" w:type="dxa"/>
            <w:vAlign w:val="center"/>
          </w:tcPr>
          <w:p w14:paraId="337E735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531" w:type="dxa"/>
            <w:vAlign w:val="center"/>
          </w:tcPr>
          <w:p w14:paraId="75DA005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3C9A6C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636" w:type="dxa"/>
            <w:vAlign w:val="center"/>
          </w:tcPr>
          <w:p w14:paraId="70AF533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495" w:type="dxa"/>
            <w:vAlign w:val="center"/>
          </w:tcPr>
          <w:p w14:paraId="64CAA2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62" w:type="dxa"/>
            <w:vAlign w:val="center"/>
          </w:tcPr>
          <w:p w14:paraId="298F39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25</w:t>
            </w:r>
          </w:p>
        </w:tc>
        <w:tc>
          <w:tcPr>
            <w:tcW w:w="426" w:type="dxa"/>
            <w:vAlign w:val="center"/>
          </w:tcPr>
          <w:p w14:paraId="4BC9AA5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40</w:t>
            </w:r>
          </w:p>
        </w:tc>
        <w:tc>
          <w:tcPr>
            <w:tcW w:w="431" w:type="dxa"/>
            <w:vAlign w:val="center"/>
          </w:tcPr>
          <w:p w14:paraId="47C212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67121A0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59" w:type="dxa"/>
            <w:vAlign w:val="center"/>
          </w:tcPr>
          <w:p w14:paraId="4747A3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r>
      <w:tr w14:paraId="48DC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092B94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山东省标准（DB37/990-2019）</w:t>
            </w:r>
          </w:p>
        </w:tc>
        <w:tc>
          <w:tcPr>
            <w:tcW w:w="567" w:type="dxa"/>
            <w:vAlign w:val="center"/>
          </w:tcPr>
          <w:p w14:paraId="4F6526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737" w:type="dxa"/>
            <w:vAlign w:val="center"/>
          </w:tcPr>
          <w:p w14:paraId="520866E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680" w:type="dxa"/>
            <w:vAlign w:val="center"/>
          </w:tcPr>
          <w:p w14:paraId="4AF4D4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67" w:type="dxa"/>
            <w:vAlign w:val="center"/>
          </w:tcPr>
          <w:p w14:paraId="173B0E8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1065" w:type="dxa"/>
            <w:vAlign w:val="center"/>
          </w:tcPr>
          <w:p w14:paraId="05C0D7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053807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426" w:type="dxa"/>
            <w:vAlign w:val="center"/>
          </w:tcPr>
          <w:p w14:paraId="43327B0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531" w:type="dxa"/>
            <w:vAlign w:val="center"/>
          </w:tcPr>
          <w:p w14:paraId="3BAC54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299FE42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426" w:type="dxa"/>
            <w:vAlign w:val="center"/>
          </w:tcPr>
          <w:p w14:paraId="392D22E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4D6A27B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636" w:type="dxa"/>
            <w:vAlign w:val="center"/>
          </w:tcPr>
          <w:p w14:paraId="1B4A36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0.06</w:t>
            </w:r>
          </w:p>
        </w:tc>
        <w:tc>
          <w:tcPr>
            <w:tcW w:w="531" w:type="dxa"/>
            <w:vAlign w:val="center"/>
          </w:tcPr>
          <w:p w14:paraId="46A461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5AB239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636" w:type="dxa"/>
            <w:vAlign w:val="center"/>
          </w:tcPr>
          <w:p w14:paraId="6B17BA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0.06</w:t>
            </w:r>
          </w:p>
        </w:tc>
        <w:tc>
          <w:tcPr>
            <w:tcW w:w="495" w:type="dxa"/>
            <w:vAlign w:val="center"/>
          </w:tcPr>
          <w:p w14:paraId="68C36F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0.5</w:t>
            </w:r>
          </w:p>
        </w:tc>
        <w:tc>
          <w:tcPr>
            <w:tcW w:w="462" w:type="dxa"/>
            <w:vAlign w:val="center"/>
          </w:tcPr>
          <w:p w14:paraId="04145ED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6A8FAEF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31" w:type="dxa"/>
            <w:vAlign w:val="center"/>
          </w:tcPr>
          <w:p w14:paraId="537160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39024BA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59" w:type="dxa"/>
            <w:vAlign w:val="center"/>
          </w:tcPr>
          <w:p w14:paraId="1EFA434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r>
      <w:tr w14:paraId="54A3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0EF3E00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河南省标准（DB41/1954-2020）</w:t>
            </w:r>
          </w:p>
        </w:tc>
        <w:tc>
          <w:tcPr>
            <w:tcW w:w="567" w:type="dxa"/>
            <w:vAlign w:val="center"/>
          </w:tcPr>
          <w:p w14:paraId="6E8CF35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737" w:type="dxa"/>
            <w:vAlign w:val="center"/>
          </w:tcPr>
          <w:p w14:paraId="4974B2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680" w:type="dxa"/>
            <w:vAlign w:val="center"/>
          </w:tcPr>
          <w:p w14:paraId="7D47B6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67" w:type="dxa"/>
            <w:vAlign w:val="center"/>
          </w:tcPr>
          <w:p w14:paraId="7F169E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1065" w:type="dxa"/>
            <w:vAlign w:val="center"/>
          </w:tcPr>
          <w:p w14:paraId="5036955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3449A4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426" w:type="dxa"/>
            <w:vAlign w:val="center"/>
          </w:tcPr>
          <w:p w14:paraId="5A9B67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531" w:type="dxa"/>
            <w:vAlign w:val="center"/>
          </w:tcPr>
          <w:p w14:paraId="0D85F1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240</w:t>
            </w:r>
          </w:p>
        </w:tc>
        <w:tc>
          <w:tcPr>
            <w:tcW w:w="532" w:type="dxa"/>
            <w:vAlign w:val="center"/>
          </w:tcPr>
          <w:p w14:paraId="2BF800B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9.0</w:t>
            </w:r>
          </w:p>
        </w:tc>
        <w:tc>
          <w:tcPr>
            <w:tcW w:w="426" w:type="dxa"/>
            <w:vAlign w:val="center"/>
          </w:tcPr>
          <w:p w14:paraId="07ED85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2C64F6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636" w:type="dxa"/>
            <w:vAlign w:val="center"/>
          </w:tcPr>
          <w:p w14:paraId="036B1BE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531" w:type="dxa"/>
            <w:vAlign w:val="center"/>
          </w:tcPr>
          <w:p w14:paraId="0D3CDE6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63BB1E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636" w:type="dxa"/>
            <w:vAlign w:val="center"/>
          </w:tcPr>
          <w:p w14:paraId="45C67AC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495" w:type="dxa"/>
            <w:vAlign w:val="center"/>
          </w:tcPr>
          <w:p w14:paraId="18227A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w:t>
            </w:r>
          </w:p>
        </w:tc>
        <w:tc>
          <w:tcPr>
            <w:tcW w:w="462" w:type="dxa"/>
            <w:vAlign w:val="center"/>
          </w:tcPr>
          <w:p w14:paraId="08CBAC1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25</w:t>
            </w:r>
          </w:p>
        </w:tc>
        <w:tc>
          <w:tcPr>
            <w:tcW w:w="426" w:type="dxa"/>
            <w:vAlign w:val="center"/>
          </w:tcPr>
          <w:p w14:paraId="6CF1EAB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40</w:t>
            </w:r>
          </w:p>
        </w:tc>
        <w:tc>
          <w:tcPr>
            <w:tcW w:w="431" w:type="dxa"/>
            <w:vAlign w:val="center"/>
          </w:tcPr>
          <w:p w14:paraId="736B55A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367BE06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59" w:type="dxa"/>
            <w:vAlign w:val="center"/>
          </w:tcPr>
          <w:p w14:paraId="345593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r>
      <w:tr w14:paraId="2FF4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5D6B642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山西省标准（DB14/2249-2020）</w:t>
            </w:r>
          </w:p>
        </w:tc>
        <w:tc>
          <w:tcPr>
            <w:tcW w:w="567" w:type="dxa"/>
            <w:vAlign w:val="center"/>
          </w:tcPr>
          <w:p w14:paraId="1A8C010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737" w:type="dxa"/>
            <w:vAlign w:val="center"/>
          </w:tcPr>
          <w:p w14:paraId="0B5B6DB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680" w:type="dxa"/>
            <w:vAlign w:val="center"/>
          </w:tcPr>
          <w:p w14:paraId="51841D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200</w:t>
            </w:r>
          </w:p>
        </w:tc>
        <w:tc>
          <w:tcPr>
            <w:tcW w:w="567" w:type="dxa"/>
            <w:vAlign w:val="center"/>
          </w:tcPr>
          <w:p w14:paraId="2C9845B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1065" w:type="dxa"/>
            <w:vAlign w:val="center"/>
          </w:tcPr>
          <w:p w14:paraId="5A9D57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516509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48F25C7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531" w:type="dxa"/>
            <w:vAlign w:val="center"/>
          </w:tcPr>
          <w:p w14:paraId="33EA1BF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240</w:t>
            </w:r>
          </w:p>
        </w:tc>
        <w:tc>
          <w:tcPr>
            <w:tcW w:w="532" w:type="dxa"/>
            <w:vAlign w:val="center"/>
          </w:tcPr>
          <w:p w14:paraId="28D11F3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9.0</w:t>
            </w:r>
          </w:p>
        </w:tc>
        <w:tc>
          <w:tcPr>
            <w:tcW w:w="426" w:type="dxa"/>
            <w:vAlign w:val="center"/>
          </w:tcPr>
          <w:p w14:paraId="710E9C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76D8340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636" w:type="dxa"/>
            <w:vAlign w:val="center"/>
          </w:tcPr>
          <w:p w14:paraId="31B4AF7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531" w:type="dxa"/>
            <w:vAlign w:val="center"/>
          </w:tcPr>
          <w:p w14:paraId="0A6286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5678F1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636" w:type="dxa"/>
            <w:vAlign w:val="center"/>
          </w:tcPr>
          <w:p w14:paraId="4651AE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495" w:type="dxa"/>
            <w:vAlign w:val="center"/>
          </w:tcPr>
          <w:p w14:paraId="7164479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w:t>
            </w:r>
          </w:p>
        </w:tc>
        <w:tc>
          <w:tcPr>
            <w:tcW w:w="462" w:type="dxa"/>
            <w:vAlign w:val="center"/>
          </w:tcPr>
          <w:p w14:paraId="6A9EF49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7339CBA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31" w:type="dxa"/>
            <w:vAlign w:val="center"/>
          </w:tcPr>
          <w:p w14:paraId="7F5501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4B4DDD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59" w:type="dxa"/>
            <w:vAlign w:val="center"/>
          </w:tcPr>
          <w:p w14:paraId="4F9AD6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r>
      <w:tr w14:paraId="5F4F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41D34A8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天津市标准（DB12/1120-2022）</w:t>
            </w:r>
          </w:p>
        </w:tc>
        <w:tc>
          <w:tcPr>
            <w:tcW w:w="567" w:type="dxa"/>
            <w:vAlign w:val="center"/>
          </w:tcPr>
          <w:p w14:paraId="4A3F6C9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737" w:type="dxa"/>
            <w:vAlign w:val="center"/>
          </w:tcPr>
          <w:p w14:paraId="1CC6C9E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680" w:type="dxa"/>
            <w:vAlign w:val="center"/>
          </w:tcPr>
          <w:p w14:paraId="0972179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200</w:t>
            </w:r>
          </w:p>
        </w:tc>
        <w:tc>
          <w:tcPr>
            <w:tcW w:w="567" w:type="dxa"/>
            <w:vAlign w:val="center"/>
          </w:tcPr>
          <w:p w14:paraId="6D0408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1065" w:type="dxa"/>
            <w:vAlign w:val="center"/>
          </w:tcPr>
          <w:p w14:paraId="3CB1AB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7FBEE4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426" w:type="dxa"/>
            <w:vAlign w:val="center"/>
          </w:tcPr>
          <w:p w14:paraId="1FDDB6E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531" w:type="dxa"/>
            <w:vAlign w:val="center"/>
          </w:tcPr>
          <w:p w14:paraId="50587C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240</w:t>
            </w:r>
          </w:p>
        </w:tc>
        <w:tc>
          <w:tcPr>
            <w:tcW w:w="532" w:type="dxa"/>
            <w:vAlign w:val="center"/>
          </w:tcPr>
          <w:p w14:paraId="39C1A4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9.0</w:t>
            </w:r>
          </w:p>
        </w:tc>
        <w:tc>
          <w:tcPr>
            <w:tcW w:w="426" w:type="dxa"/>
            <w:vAlign w:val="center"/>
          </w:tcPr>
          <w:p w14:paraId="728D32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512BBD8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636" w:type="dxa"/>
            <w:vAlign w:val="center"/>
          </w:tcPr>
          <w:p w14:paraId="7886CC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531" w:type="dxa"/>
            <w:vAlign w:val="center"/>
          </w:tcPr>
          <w:p w14:paraId="41EAFE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61FF2BE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636" w:type="dxa"/>
            <w:vAlign w:val="center"/>
          </w:tcPr>
          <w:p w14:paraId="77B502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495" w:type="dxa"/>
            <w:vAlign w:val="center"/>
          </w:tcPr>
          <w:p w14:paraId="131D59F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w:t>
            </w:r>
          </w:p>
        </w:tc>
        <w:tc>
          <w:tcPr>
            <w:tcW w:w="462" w:type="dxa"/>
            <w:vAlign w:val="center"/>
          </w:tcPr>
          <w:p w14:paraId="721574C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25</w:t>
            </w:r>
          </w:p>
        </w:tc>
        <w:tc>
          <w:tcPr>
            <w:tcW w:w="426" w:type="dxa"/>
            <w:vAlign w:val="center"/>
          </w:tcPr>
          <w:p w14:paraId="72D1515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40</w:t>
            </w:r>
          </w:p>
        </w:tc>
        <w:tc>
          <w:tcPr>
            <w:tcW w:w="431" w:type="dxa"/>
            <w:vAlign w:val="center"/>
          </w:tcPr>
          <w:p w14:paraId="77DAE31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06AA3FB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59" w:type="dxa"/>
            <w:vAlign w:val="center"/>
          </w:tcPr>
          <w:p w14:paraId="738480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r>
      <w:tr w14:paraId="32CE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3F8AC3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辽宁省标准</w:t>
            </w:r>
          </w:p>
          <w:p w14:paraId="0475A76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（DB21/4119-2025）</w:t>
            </w:r>
          </w:p>
        </w:tc>
        <w:tc>
          <w:tcPr>
            <w:tcW w:w="567" w:type="dxa"/>
            <w:vAlign w:val="center"/>
          </w:tcPr>
          <w:p w14:paraId="21C666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737" w:type="dxa"/>
            <w:vAlign w:val="center"/>
          </w:tcPr>
          <w:p w14:paraId="2CA077D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680" w:type="dxa"/>
            <w:vAlign w:val="center"/>
          </w:tcPr>
          <w:p w14:paraId="5D335FA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200</w:t>
            </w:r>
          </w:p>
        </w:tc>
        <w:tc>
          <w:tcPr>
            <w:tcW w:w="567" w:type="dxa"/>
            <w:vAlign w:val="center"/>
          </w:tcPr>
          <w:p w14:paraId="27C1663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1065" w:type="dxa"/>
            <w:vAlign w:val="center"/>
          </w:tcPr>
          <w:p w14:paraId="0A89817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4EDAD8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426" w:type="dxa"/>
            <w:vAlign w:val="center"/>
          </w:tcPr>
          <w:p w14:paraId="0302BBD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30</w:t>
            </w:r>
          </w:p>
        </w:tc>
        <w:tc>
          <w:tcPr>
            <w:tcW w:w="531" w:type="dxa"/>
            <w:vAlign w:val="center"/>
          </w:tcPr>
          <w:p w14:paraId="412ABCC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240</w:t>
            </w:r>
          </w:p>
        </w:tc>
        <w:tc>
          <w:tcPr>
            <w:tcW w:w="532" w:type="dxa"/>
            <w:vAlign w:val="center"/>
          </w:tcPr>
          <w:p w14:paraId="70A145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9</w:t>
            </w:r>
          </w:p>
        </w:tc>
        <w:tc>
          <w:tcPr>
            <w:tcW w:w="426" w:type="dxa"/>
            <w:vAlign w:val="center"/>
          </w:tcPr>
          <w:p w14:paraId="2A0685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17D5219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636" w:type="dxa"/>
            <w:vAlign w:val="center"/>
          </w:tcPr>
          <w:p w14:paraId="276717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531" w:type="dxa"/>
            <w:vAlign w:val="center"/>
          </w:tcPr>
          <w:p w14:paraId="7B65AD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048605F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w:t>
            </w:r>
          </w:p>
        </w:tc>
        <w:tc>
          <w:tcPr>
            <w:tcW w:w="636" w:type="dxa"/>
            <w:vAlign w:val="center"/>
          </w:tcPr>
          <w:p w14:paraId="1DD8D6B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0.07</w:t>
            </w:r>
          </w:p>
        </w:tc>
        <w:tc>
          <w:tcPr>
            <w:tcW w:w="495" w:type="dxa"/>
            <w:vAlign w:val="center"/>
          </w:tcPr>
          <w:p w14:paraId="4693C45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w:t>
            </w:r>
          </w:p>
        </w:tc>
        <w:tc>
          <w:tcPr>
            <w:tcW w:w="888" w:type="dxa"/>
            <w:gridSpan w:val="2"/>
            <w:vAlign w:val="center"/>
          </w:tcPr>
          <w:p w14:paraId="4B62120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苯系物</w:t>
            </w:r>
          </w:p>
          <w:p w14:paraId="08B09D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431" w:type="dxa"/>
            <w:vAlign w:val="center"/>
          </w:tcPr>
          <w:p w14:paraId="4AB2FBD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1AB5F2F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59" w:type="dxa"/>
            <w:vAlign w:val="center"/>
          </w:tcPr>
          <w:p w14:paraId="1469D6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r>
      <w:tr w14:paraId="59BD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5210F5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超低意见</w:t>
            </w:r>
          </w:p>
        </w:tc>
        <w:tc>
          <w:tcPr>
            <w:tcW w:w="567" w:type="dxa"/>
            <w:vAlign w:val="center"/>
          </w:tcPr>
          <w:p w14:paraId="33B1BE9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737" w:type="dxa"/>
            <w:vAlign w:val="center"/>
          </w:tcPr>
          <w:p w14:paraId="67A155D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680" w:type="dxa"/>
            <w:vAlign w:val="center"/>
          </w:tcPr>
          <w:p w14:paraId="4A338C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200</w:t>
            </w:r>
          </w:p>
        </w:tc>
        <w:tc>
          <w:tcPr>
            <w:tcW w:w="567" w:type="dxa"/>
            <w:vAlign w:val="center"/>
          </w:tcPr>
          <w:p w14:paraId="4AAF30E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1065" w:type="dxa"/>
            <w:vAlign w:val="center"/>
          </w:tcPr>
          <w:p w14:paraId="6A49316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4714E4C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19F4B4D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31" w:type="dxa"/>
            <w:vAlign w:val="center"/>
          </w:tcPr>
          <w:p w14:paraId="579881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32" w:type="dxa"/>
            <w:vAlign w:val="center"/>
          </w:tcPr>
          <w:p w14:paraId="1084BE2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65A2504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64EA32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636" w:type="dxa"/>
            <w:vAlign w:val="center"/>
          </w:tcPr>
          <w:p w14:paraId="364D4A5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31" w:type="dxa"/>
            <w:vAlign w:val="center"/>
          </w:tcPr>
          <w:p w14:paraId="4D96925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32" w:type="dxa"/>
            <w:vAlign w:val="center"/>
          </w:tcPr>
          <w:p w14:paraId="5C27CE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636" w:type="dxa"/>
            <w:vAlign w:val="center"/>
          </w:tcPr>
          <w:p w14:paraId="5368A8D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95" w:type="dxa"/>
            <w:vAlign w:val="center"/>
          </w:tcPr>
          <w:p w14:paraId="08FF9D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62" w:type="dxa"/>
            <w:vAlign w:val="center"/>
          </w:tcPr>
          <w:p w14:paraId="1C8D8FD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5F337D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31" w:type="dxa"/>
            <w:vAlign w:val="center"/>
          </w:tcPr>
          <w:p w14:paraId="688D008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148220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59" w:type="dxa"/>
            <w:vAlign w:val="center"/>
          </w:tcPr>
          <w:p w14:paraId="415631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r>
      <w:tr w14:paraId="4F6F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5A63890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bookmarkStart w:id="148" w:name="_Hlk209195167"/>
            <w:r>
              <w:rPr>
                <w:rFonts w:hint="eastAsia" w:ascii="Times New Roman" w:hAnsi="Times New Roman" w:cs="Times New Roman"/>
                <w:color w:val="000000"/>
                <w:sz w:val="20"/>
                <w:szCs w:val="16"/>
              </w:rPr>
              <w:t>宝钢股份在线监测</w:t>
            </w:r>
          </w:p>
          <w:p w14:paraId="3635C88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（95百分位数值）</w:t>
            </w:r>
          </w:p>
        </w:tc>
        <w:tc>
          <w:tcPr>
            <w:tcW w:w="567" w:type="dxa"/>
            <w:vAlign w:val="center"/>
          </w:tcPr>
          <w:p w14:paraId="409E802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7.02</w:t>
            </w:r>
          </w:p>
        </w:tc>
        <w:tc>
          <w:tcPr>
            <w:tcW w:w="737" w:type="dxa"/>
            <w:vAlign w:val="center"/>
          </w:tcPr>
          <w:p w14:paraId="500F40A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42.75</w:t>
            </w:r>
          </w:p>
        </w:tc>
        <w:tc>
          <w:tcPr>
            <w:tcW w:w="680" w:type="dxa"/>
            <w:vAlign w:val="center"/>
          </w:tcPr>
          <w:p w14:paraId="0D36D1B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182.9</w:t>
            </w:r>
          </w:p>
        </w:tc>
        <w:tc>
          <w:tcPr>
            <w:tcW w:w="567" w:type="dxa"/>
            <w:vAlign w:val="center"/>
          </w:tcPr>
          <w:p w14:paraId="0F2413D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1065" w:type="dxa"/>
            <w:vAlign w:val="center"/>
          </w:tcPr>
          <w:p w14:paraId="218244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43050F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09E0E0B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31" w:type="dxa"/>
            <w:vAlign w:val="center"/>
          </w:tcPr>
          <w:p w14:paraId="16F2206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32" w:type="dxa"/>
            <w:vAlign w:val="center"/>
          </w:tcPr>
          <w:p w14:paraId="35887B7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1C11EB3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778FB2B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636" w:type="dxa"/>
            <w:vAlign w:val="center"/>
          </w:tcPr>
          <w:p w14:paraId="1B4C1BE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31" w:type="dxa"/>
            <w:vAlign w:val="center"/>
          </w:tcPr>
          <w:p w14:paraId="68EA7C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532" w:type="dxa"/>
            <w:vAlign w:val="center"/>
          </w:tcPr>
          <w:p w14:paraId="2CDC667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636" w:type="dxa"/>
            <w:vAlign w:val="center"/>
          </w:tcPr>
          <w:p w14:paraId="3BB93F5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95" w:type="dxa"/>
            <w:vAlign w:val="center"/>
          </w:tcPr>
          <w:p w14:paraId="7F3B5D7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62" w:type="dxa"/>
            <w:vAlign w:val="center"/>
          </w:tcPr>
          <w:p w14:paraId="46ED11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771F55D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31" w:type="dxa"/>
            <w:vAlign w:val="center"/>
          </w:tcPr>
          <w:p w14:paraId="5F6177E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26" w:type="dxa"/>
            <w:vAlign w:val="center"/>
          </w:tcPr>
          <w:p w14:paraId="4AC7218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c>
          <w:tcPr>
            <w:tcW w:w="459" w:type="dxa"/>
            <w:vAlign w:val="center"/>
          </w:tcPr>
          <w:p w14:paraId="719747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w:t>
            </w:r>
          </w:p>
        </w:tc>
      </w:tr>
      <w:bookmarkEnd w:id="148"/>
      <w:tr w14:paraId="28AE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Align w:val="center"/>
          </w:tcPr>
          <w:p w14:paraId="1EECFD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拟定排放限值</w:t>
            </w:r>
          </w:p>
        </w:tc>
        <w:tc>
          <w:tcPr>
            <w:tcW w:w="567" w:type="dxa"/>
            <w:vAlign w:val="center"/>
          </w:tcPr>
          <w:p w14:paraId="13EF0DE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737" w:type="dxa"/>
            <w:vAlign w:val="center"/>
          </w:tcPr>
          <w:p w14:paraId="5A7AFA4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680" w:type="dxa"/>
            <w:vAlign w:val="center"/>
          </w:tcPr>
          <w:p w14:paraId="162CED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FF0000"/>
                <w:sz w:val="20"/>
                <w:szCs w:val="16"/>
                <w:highlight w:val="yellow"/>
              </w:rPr>
            </w:pPr>
            <w:r>
              <w:rPr>
                <w:rFonts w:hint="eastAsia" w:ascii="Times New Roman" w:hAnsi="Times New Roman" w:cs="Times New Roman"/>
                <w:sz w:val="20"/>
                <w:szCs w:val="16"/>
              </w:rPr>
              <w:t>150</w:t>
            </w:r>
          </w:p>
        </w:tc>
        <w:tc>
          <w:tcPr>
            <w:tcW w:w="567" w:type="dxa"/>
            <w:vAlign w:val="center"/>
          </w:tcPr>
          <w:p w14:paraId="529F3C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1065" w:type="dxa"/>
            <w:vAlign w:val="center"/>
          </w:tcPr>
          <w:p w14:paraId="25D33B7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2CD8D3D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26" w:type="dxa"/>
            <w:vAlign w:val="center"/>
          </w:tcPr>
          <w:p w14:paraId="6D3375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c>
          <w:tcPr>
            <w:tcW w:w="531" w:type="dxa"/>
            <w:vAlign w:val="center"/>
          </w:tcPr>
          <w:p w14:paraId="75B722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5AE743A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426" w:type="dxa"/>
            <w:vAlign w:val="center"/>
          </w:tcPr>
          <w:p w14:paraId="5E21B2F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w:t>
            </w:r>
          </w:p>
        </w:tc>
        <w:tc>
          <w:tcPr>
            <w:tcW w:w="426" w:type="dxa"/>
            <w:vAlign w:val="center"/>
          </w:tcPr>
          <w:p w14:paraId="1133B09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636" w:type="dxa"/>
            <w:vAlign w:val="center"/>
          </w:tcPr>
          <w:p w14:paraId="0F9F12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0.06</w:t>
            </w:r>
          </w:p>
        </w:tc>
        <w:tc>
          <w:tcPr>
            <w:tcW w:w="531" w:type="dxa"/>
            <w:vAlign w:val="center"/>
          </w:tcPr>
          <w:p w14:paraId="6D8F627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150</w:t>
            </w:r>
          </w:p>
        </w:tc>
        <w:tc>
          <w:tcPr>
            <w:tcW w:w="532" w:type="dxa"/>
            <w:vAlign w:val="center"/>
          </w:tcPr>
          <w:p w14:paraId="3D05A4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6.0</w:t>
            </w:r>
          </w:p>
        </w:tc>
        <w:tc>
          <w:tcPr>
            <w:tcW w:w="636" w:type="dxa"/>
            <w:vAlign w:val="center"/>
          </w:tcPr>
          <w:p w14:paraId="7FF150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0.06</w:t>
            </w:r>
          </w:p>
        </w:tc>
        <w:tc>
          <w:tcPr>
            <w:tcW w:w="495" w:type="dxa"/>
            <w:vAlign w:val="center"/>
          </w:tcPr>
          <w:p w14:paraId="55438C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0.5</w:t>
            </w:r>
          </w:p>
        </w:tc>
        <w:tc>
          <w:tcPr>
            <w:tcW w:w="462" w:type="dxa"/>
            <w:vAlign w:val="center"/>
          </w:tcPr>
          <w:p w14:paraId="0E61E1B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w:t>
            </w:r>
          </w:p>
        </w:tc>
        <w:tc>
          <w:tcPr>
            <w:tcW w:w="426" w:type="dxa"/>
            <w:vAlign w:val="center"/>
          </w:tcPr>
          <w:p w14:paraId="3C902F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31" w:type="dxa"/>
            <w:vAlign w:val="center"/>
          </w:tcPr>
          <w:p w14:paraId="06D6EE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50</w:t>
            </w:r>
          </w:p>
        </w:tc>
        <w:tc>
          <w:tcPr>
            <w:tcW w:w="426" w:type="dxa"/>
            <w:vAlign w:val="center"/>
          </w:tcPr>
          <w:p w14:paraId="12CAC92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10</w:t>
            </w:r>
          </w:p>
        </w:tc>
        <w:tc>
          <w:tcPr>
            <w:tcW w:w="459" w:type="dxa"/>
            <w:vAlign w:val="center"/>
          </w:tcPr>
          <w:p w14:paraId="3D9385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0"/>
                <w:szCs w:val="16"/>
              </w:rPr>
            </w:pPr>
            <w:r>
              <w:rPr>
                <w:rFonts w:hint="eastAsia" w:ascii="Times New Roman" w:hAnsi="Times New Roman" w:cs="Times New Roman"/>
                <w:color w:val="000000"/>
                <w:sz w:val="20"/>
                <w:szCs w:val="16"/>
              </w:rPr>
              <w:t>20</w:t>
            </w:r>
          </w:p>
        </w:tc>
      </w:tr>
    </w:tbl>
    <w:p w14:paraId="4FD741F7">
      <w:pPr>
        <w:pStyle w:val="13"/>
        <w:spacing w:line="360" w:lineRule="auto"/>
        <w:ind w:firstLine="480"/>
        <w:jc w:val="both"/>
        <w:rPr>
          <w:rFonts w:ascii="Times New Roman" w:hAnsi="Times New Roman"/>
        </w:rPr>
      </w:pPr>
    </w:p>
    <w:p w14:paraId="320CF6E9">
      <w:pPr>
        <w:pStyle w:val="13"/>
        <w:spacing w:line="360" w:lineRule="auto"/>
        <w:ind w:firstLine="480"/>
        <w:rPr>
          <w:rFonts w:ascii="Times New Roman" w:hAnsi="Times New Roman"/>
        </w:rPr>
        <w:sectPr>
          <w:pgSz w:w="16838" w:h="11906" w:orient="landscape"/>
          <w:pgMar w:top="1800" w:right="1440" w:bottom="1800" w:left="1440" w:header="851" w:footer="992" w:gutter="0"/>
          <w:cols w:space="425" w:num="1"/>
          <w:docGrid w:type="lines" w:linePitch="326" w:charSpace="0"/>
        </w:sectPr>
      </w:pPr>
    </w:p>
    <w:p w14:paraId="3F6F30D4">
      <w:pPr>
        <w:pStyle w:val="37"/>
        <w:spacing w:before="0" w:beforeLines="0"/>
        <w:ind w:left="561"/>
      </w:pPr>
      <w:bookmarkStart w:id="149" w:name="_Toc217058321"/>
      <w:r>
        <w:t>6.6 无组织排放限值</w:t>
      </w:r>
      <w:bookmarkEnd w:id="149"/>
    </w:p>
    <w:p w14:paraId="7A1F2FDB">
      <w:pPr>
        <w:spacing w:line="235" w:lineRule="auto"/>
        <w:jc w:val="center"/>
        <w:rPr>
          <w:rFonts w:ascii="Times New Roman" w:hAnsi="Times New Roman" w:cs="Times New Roman"/>
          <w:b/>
          <w:bCs/>
          <w:color w:val="000000"/>
          <w:szCs w:val="32"/>
        </w:rPr>
      </w:pPr>
      <w:r>
        <w:rPr>
          <w:rFonts w:hint="eastAsia" w:ascii="Times New Roman" w:hAnsi="Times New Roman" w:cs="Times New Roman"/>
          <w:b/>
          <w:bCs/>
          <w:color w:val="000000"/>
          <w:szCs w:val="32"/>
        </w:rPr>
        <w:t>表</w:t>
      </w:r>
      <w:r>
        <w:rPr>
          <w:rFonts w:ascii="Times New Roman" w:hAnsi="Times New Roman" w:cs="Times New Roman"/>
          <w:b/>
          <w:bCs/>
          <w:color w:val="000000"/>
          <w:szCs w:val="32"/>
        </w:rPr>
        <w:t xml:space="preserve">6-6 </w:t>
      </w:r>
      <w:r>
        <w:rPr>
          <w:rFonts w:hint="eastAsia" w:ascii="Times New Roman" w:hAnsi="Times New Roman" w:cs="Times New Roman"/>
          <w:b/>
          <w:bCs/>
          <w:color w:val="000000"/>
          <w:szCs w:val="32"/>
        </w:rPr>
        <w:t>大气污染物无组织排放浓度限值（钢铁工序）</w:t>
      </w:r>
    </w:p>
    <w:p w14:paraId="31FBA10B">
      <w:pPr>
        <w:jc w:val="right"/>
        <w:rPr>
          <w:rFonts w:ascii="Times New Roman" w:hAnsi="Times New Roman" w:cs="Times New Roman"/>
          <w:sz w:val="18"/>
          <w:szCs w:val="18"/>
        </w:rPr>
      </w:pPr>
      <w:r>
        <w:rPr>
          <w:rFonts w:ascii="Times New Roman" w:hAnsi="Times New Roman" w:cs="Times New Roman"/>
          <w:sz w:val="18"/>
          <w:szCs w:val="18"/>
        </w:rPr>
        <w:t>单位：mg/m</w:t>
      </w:r>
      <w:r>
        <w:rPr>
          <w:rFonts w:ascii="Times New Roman" w:hAnsi="Times New Roman" w:cs="Times New Roman"/>
          <w:sz w:val="18"/>
          <w:szCs w:val="18"/>
          <w:vertAlign w:val="superscript"/>
        </w:rPr>
        <w:t>3</w:t>
      </w:r>
    </w:p>
    <w:tbl>
      <w:tblPr>
        <w:tblStyle w:val="27"/>
        <w:tblW w:w="5041"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1105"/>
        <w:gridCol w:w="1428"/>
        <w:gridCol w:w="1385"/>
        <w:gridCol w:w="1152"/>
        <w:gridCol w:w="1152"/>
        <w:gridCol w:w="1152"/>
        <w:gridCol w:w="1152"/>
        <w:gridCol w:w="1152"/>
        <w:gridCol w:w="1152"/>
        <w:gridCol w:w="1152"/>
        <w:gridCol w:w="1152"/>
        <w:gridCol w:w="1154"/>
      </w:tblGrid>
      <w:tr w14:paraId="6DD305A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87" w:type="pct"/>
            <w:vMerge w:val="restart"/>
            <w:vAlign w:val="center"/>
          </w:tcPr>
          <w:p w14:paraId="3C6B630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工序</w:t>
            </w:r>
          </w:p>
        </w:tc>
        <w:tc>
          <w:tcPr>
            <w:tcW w:w="500" w:type="pct"/>
            <w:vMerge w:val="restart"/>
            <w:vAlign w:val="center"/>
          </w:tcPr>
          <w:p w14:paraId="19DFC77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生产工艺或设施</w:t>
            </w:r>
          </w:p>
        </w:tc>
        <w:tc>
          <w:tcPr>
            <w:tcW w:w="485" w:type="pct"/>
            <w:vMerge w:val="restart"/>
            <w:vAlign w:val="center"/>
          </w:tcPr>
          <w:p w14:paraId="755C46B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污染物项目</w:t>
            </w:r>
          </w:p>
        </w:tc>
        <w:tc>
          <w:tcPr>
            <w:tcW w:w="3628" w:type="pct"/>
            <w:gridSpan w:val="9"/>
            <w:vAlign w:val="center"/>
          </w:tcPr>
          <w:p w14:paraId="67D5FD8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排放浓度限值</w:t>
            </w:r>
          </w:p>
        </w:tc>
      </w:tr>
      <w:tr w14:paraId="19C86C7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87" w:type="pct"/>
            <w:vMerge w:val="continue"/>
            <w:vAlign w:val="center"/>
          </w:tcPr>
          <w:p w14:paraId="1114446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Merge w:val="continue"/>
            <w:vAlign w:val="center"/>
          </w:tcPr>
          <w:p w14:paraId="7D4380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5" w:type="pct"/>
            <w:vMerge w:val="continue"/>
            <w:vAlign w:val="center"/>
          </w:tcPr>
          <w:p w14:paraId="4CAFBB6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03" w:type="pct"/>
            <w:tcBorders>
              <w:right w:val="single" w:color="auto" w:sz="4" w:space="0"/>
            </w:tcBorders>
            <w:vAlign w:val="center"/>
          </w:tcPr>
          <w:p w14:paraId="44BA655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现行</w:t>
            </w:r>
          </w:p>
          <w:p w14:paraId="5AD7683C">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国标</w:t>
            </w:r>
          </w:p>
        </w:tc>
        <w:tc>
          <w:tcPr>
            <w:tcW w:w="403" w:type="pct"/>
            <w:tcBorders>
              <w:right w:val="single" w:color="auto" w:sz="4" w:space="0"/>
            </w:tcBorders>
            <w:vAlign w:val="center"/>
          </w:tcPr>
          <w:p w14:paraId="5D6A783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河北省标准（DB13/2169-2018）</w:t>
            </w:r>
          </w:p>
        </w:tc>
        <w:tc>
          <w:tcPr>
            <w:tcW w:w="403" w:type="pct"/>
            <w:tcBorders>
              <w:left w:val="single" w:color="auto" w:sz="4" w:space="0"/>
              <w:right w:val="single" w:color="auto" w:sz="4" w:space="0"/>
            </w:tcBorders>
            <w:vAlign w:val="center"/>
          </w:tcPr>
          <w:p w14:paraId="42814EB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山东省标准（DB37/990-2019）</w:t>
            </w:r>
          </w:p>
        </w:tc>
        <w:tc>
          <w:tcPr>
            <w:tcW w:w="403" w:type="pct"/>
            <w:tcBorders>
              <w:left w:val="single" w:color="auto" w:sz="4" w:space="0"/>
              <w:right w:val="single" w:color="auto" w:sz="4" w:space="0"/>
            </w:tcBorders>
            <w:vAlign w:val="center"/>
          </w:tcPr>
          <w:p w14:paraId="06878E3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河南省标准（DB41/1954-2020）</w:t>
            </w:r>
          </w:p>
        </w:tc>
        <w:tc>
          <w:tcPr>
            <w:tcW w:w="403" w:type="pct"/>
            <w:tcBorders>
              <w:left w:val="single" w:color="auto" w:sz="4" w:space="0"/>
              <w:right w:val="single" w:color="auto" w:sz="4" w:space="0"/>
            </w:tcBorders>
            <w:vAlign w:val="center"/>
          </w:tcPr>
          <w:p w14:paraId="0AB0399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山西省标准（DB14/2249-2020）</w:t>
            </w:r>
          </w:p>
        </w:tc>
        <w:tc>
          <w:tcPr>
            <w:tcW w:w="403" w:type="pct"/>
            <w:tcBorders>
              <w:left w:val="single" w:color="auto" w:sz="4" w:space="0"/>
              <w:right w:val="single" w:color="auto" w:sz="4" w:space="0"/>
            </w:tcBorders>
            <w:vAlign w:val="center"/>
          </w:tcPr>
          <w:p w14:paraId="05E6D8C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天津市标准（DB12/1120-2022）</w:t>
            </w:r>
          </w:p>
        </w:tc>
        <w:tc>
          <w:tcPr>
            <w:tcW w:w="403" w:type="pct"/>
            <w:tcBorders>
              <w:left w:val="single" w:color="auto" w:sz="4" w:space="0"/>
            </w:tcBorders>
            <w:vAlign w:val="center"/>
          </w:tcPr>
          <w:p w14:paraId="4152503F">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辽宁省标准</w:t>
            </w:r>
          </w:p>
          <w:p w14:paraId="3A75051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（DB21/4119-2025）</w:t>
            </w:r>
          </w:p>
        </w:tc>
        <w:tc>
          <w:tcPr>
            <w:tcW w:w="403" w:type="pct"/>
            <w:tcBorders>
              <w:left w:val="single" w:color="auto" w:sz="4" w:space="0"/>
            </w:tcBorders>
            <w:vAlign w:val="center"/>
          </w:tcPr>
          <w:p w14:paraId="42C1F6A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江苏省标准（2021征求意见）</w:t>
            </w:r>
          </w:p>
        </w:tc>
        <w:tc>
          <w:tcPr>
            <w:tcW w:w="403" w:type="pct"/>
            <w:tcBorders>
              <w:left w:val="single" w:color="auto" w:sz="4" w:space="0"/>
            </w:tcBorders>
            <w:vAlign w:val="center"/>
          </w:tcPr>
          <w:p w14:paraId="6041990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拟定限值</w:t>
            </w:r>
          </w:p>
        </w:tc>
      </w:tr>
      <w:tr w14:paraId="251D8F7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restart"/>
            <w:vAlign w:val="center"/>
          </w:tcPr>
          <w:p w14:paraId="20F004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烧结、球团、炼铁、炼钢</w:t>
            </w:r>
          </w:p>
        </w:tc>
        <w:tc>
          <w:tcPr>
            <w:tcW w:w="500" w:type="pct"/>
            <w:vAlign w:val="center"/>
          </w:tcPr>
          <w:p w14:paraId="0B043E5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有厂房车间</w:t>
            </w:r>
          </w:p>
        </w:tc>
        <w:tc>
          <w:tcPr>
            <w:tcW w:w="485" w:type="pct"/>
            <w:vMerge w:val="restart"/>
            <w:vAlign w:val="center"/>
          </w:tcPr>
          <w:p w14:paraId="171D8E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403" w:type="pct"/>
            <w:tcBorders>
              <w:right w:val="single" w:color="auto" w:sz="4" w:space="0"/>
            </w:tcBorders>
            <w:vAlign w:val="center"/>
          </w:tcPr>
          <w:p w14:paraId="09CE27A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03" w:type="pct"/>
            <w:tcBorders>
              <w:right w:val="single" w:color="auto" w:sz="4" w:space="0"/>
            </w:tcBorders>
            <w:vAlign w:val="center"/>
          </w:tcPr>
          <w:p w14:paraId="43DCBC3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03" w:type="pct"/>
            <w:tcBorders>
              <w:left w:val="single" w:color="auto" w:sz="4" w:space="0"/>
              <w:right w:val="single" w:color="auto" w:sz="4" w:space="0"/>
            </w:tcBorders>
            <w:vAlign w:val="center"/>
          </w:tcPr>
          <w:p w14:paraId="05D5E36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03" w:type="pct"/>
            <w:tcBorders>
              <w:left w:val="single" w:color="auto" w:sz="4" w:space="0"/>
              <w:right w:val="single" w:color="auto" w:sz="4" w:space="0"/>
            </w:tcBorders>
            <w:vAlign w:val="center"/>
          </w:tcPr>
          <w:p w14:paraId="28E22F0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03" w:type="pct"/>
            <w:tcBorders>
              <w:left w:val="single" w:color="auto" w:sz="4" w:space="0"/>
              <w:right w:val="single" w:color="auto" w:sz="4" w:space="0"/>
            </w:tcBorders>
            <w:vAlign w:val="center"/>
          </w:tcPr>
          <w:p w14:paraId="3003CA9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03" w:type="pct"/>
            <w:tcBorders>
              <w:left w:val="single" w:color="auto" w:sz="4" w:space="0"/>
              <w:right w:val="single" w:color="auto" w:sz="4" w:space="0"/>
            </w:tcBorders>
            <w:vAlign w:val="center"/>
          </w:tcPr>
          <w:p w14:paraId="5B44CA2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03" w:type="pct"/>
            <w:tcBorders>
              <w:left w:val="single" w:color="auto" w:sz="4" w:space="0"/>
            </w:tcBorders>
            <w:vAlign w:val="center"/>
          </w:tcPr>
          <w:p w14:paraId="24387F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w:t>
            </w:r>
          </w:p>
        </w:tc>
        <w:tc>
          <w:tcPr>
            <w:tcW w:w="403" w:type="pct"/>
            <w:tcBorders>
              <w:left w:val="single" w:color="auto" w:sz="4" w:space="0"/>
            </w:tcBorders>
            <w:vAlign w:val="center"/>
          </w:tcPr>
          <w:p w14:paraId="1836F1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c>
          <w:tcPr>
            <w:tcW w:w="403" w:type="pct"/>
            <w:tcBorders>
              <w:left w:val="single" w:color="auto" w:sz="4" w:space="0"/>
            </w:tcBorders>
            <w:vAlign w:val="center"/>
          </w:tcPr>
          <w:p w14:paraId="30D4493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8.0</w:t>
            </w:r>
          </w:p>
        </w:tc>
      </w:tr>
      <w:tr w14:paraId="135D6DF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continue"/>
            <w:vAlign w:val="center"/>
          </w:tcPr>
          <w:p w14:paraId="591B0D3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Align w:val="center"/>
          </w:tcPr>
          <w:p w14:paraId="5626709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无完整厂房车间</w:t>
            </w:r>
          </w:p>
        </w:tc>
        <w:tc>
          <w:tcPr>
            <w:tcW w:w="485" w:type="pct"/>
            <w:vMerge w:val="continue"/>
            <w:vAlign w:val="center"/>
          </w:tcPr>
          <w:p w14:paraId="7E4193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03" w:type="pct"/>
            <w:tcBorders>
              <w:right w:val="single" w:color="auto" w:sz="4" w:space="0"/>
            </w:tcBorders>
            <w:vAlign w:val="center"/>
          </w:tcPr>
          <w:p w14:paraId="26108D6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right w:val="single" w:color="auto" w:sz="4" w:space="0"/>
            </w:tcBorders>
            <w:vAlign w:val="center"/>
          </w:tcPr>
          <w:p w14:paraId="36A3800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right w:val="single" w:color="auto" w:sz="4" w:space="0"/>
            </w:tcBorders>
            <w:vAlign w:val="center"/>
          </w:tcPr>
          <w:p w14:paraId="412A72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right w:val="single" w:color="auto" w:sz="4" w:space="0"/>
            </w:tcBorders>
            <w:vAlign w:val="center"/>
          </w:tcPr>
          <w:p w14:paraId="547C6F5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right w:val="single" w:color="auto" w:sz="4" w:space="0"/>
            </w:tcBorders>
            <w:vAlign w:val="center"/>
          </w:tcPr>
          <w:p w14:paraId="03502B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right w:val="single" w:color="auto" w:sz="4" w:space="0"/>
            </w:tcBorders>
            <w:vAlign w:val="center"/>
          </w:tcPr>
          <w:p w14:paraId="0E51DA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tcBorders>
            <w:vAlign w:val="center"/>
          </w:tcPr>
          <w:p w14:paraId="2E132DF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w:t>
            </w:r>
          </w:p>
        </w:tc>
        <w:tc>
          <w:tcPr>
            <w:tcW w:w="403" w:type="pct"/>
            <w:tcBorders>
              <w:left w:val="single" w:color="auto" w:sz="4" w:space="0"/>
            </w:tcBorders>
            <w:vAlign w:val="center"/>
          </w:tcPr>
          <w:p w14:paraId="02F5B64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tcBorders>
            <w:vAlign w:val="center"/>
          </w:tcPr>
          <w:p w14:paraId="5AB8A25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r>
      <w:tr w14:paraId="157CEDA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restart"/>
            <w:vAlign w:val="center"/>
          </w:tcPr>
          <w:p w14:paraId="43B2C4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轧钢</w:t>
            </w:r>
          </w:p>
        </w:tc>
        <w:tc>
          <w:tcPr>
            <w:tcW w:w="500" w:type="pct"/>
            <w:vAlign w:val="center"/>
          </w:tcPr>
          <w:p w14:paraId="3EEC0C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板坯加热、磨辊作业、钢卷精整、酸再生下料</w:t>
            </w:r>
          </w:p>
        </w:tc>
        <w:tc>
          <w:tcPr>
            <w:tcW w:w="485" w:type="pct"/>
            <w:vAlign w:val="center"/>
          </w:tcPr>
          <w:p w14:paraId="4D6EF6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403" w:type="pct"/>
            <w:tcBorders>
              <w:right w:val="single" w:color="auto" w:sz="4" w:space="0"/>
            </w:tcBorders>
            <w:vAlign w:val="center"/>
          </w:tcPr>
          <w:p w14:paraId="2DE3B2F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right w:val="single" w:color="auto" w:sz="4" w:space="0"/>
            </w:tcBorders>
            <w:vAlign w:val="center"/>
          </w:tcPr>
          <w:p w14:paraId="6854C90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5E35BC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right w:val="single" w:color="auto" w:sz="4" w:space="0"/>
            </w:tcBorders>
            <w:vAlign w:val="center"/>
          </w:tcPr>
          <w:p w14:paraId="624BD99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0E4392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w:t>
            </w:r>
          </w:p>
        </w:tc>
        <w:tc>
          <w:tcPr>
            <w:tcW w:w="403" w:type="pct"/>
            <w:tcBorders>
              <w:left w:val="single" w:color="auto" w:sz="4" w:space="0"/>
              <w:right w:val="single" w:color="auto" w:sz="4" w:space="0"/>
            </w:tcBorders>
            <w:vAlign w:val="center"/>
          </w:tcPr>
          <w:p w14:paraId="0CD0694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tcBorders>
            <w:vAlign w:val="center"/>
          </w:tcPr>
          <w:p w14:paraId="05D371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w:t>
            </w:r>
          </w:p>
        </w:tc>
        <w:tc>
          <w:tcPr>
            <w:tcW w:w="403" w:type="pct"/>
            <w:tcBorders>
              <w:left w:val="single" w:color="auto" w:sz="4" w:space="0"/>
            </w:tcBorders>
            <w:vAlign w:val="center"/>
          </w:tcPr>
          <w:p w14:paraId="6700AA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c>
          <w:tcPr>
            <w:tcW w:w="403" w:type="pct"/>
            <w:tcBorders>
              <w:left w:val="single" w:color="auto" w:sz="4" w:space="0"/>
            </w:tcBorders>
            <w:vAlign w:val="center"/>
          </w:tcPr>
          <w:p w14:paraId="595558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5.0</w:t>
            </w:r>
          </w:p>
        </w:tc>
      </w:tr>
      <w:tr w14:paraId="680E988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continue"/>
            <w:vAlign w:val="center"/>
          </w:tcPr>
          <w:p w14:paraId="39E5CE9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Merge w:val="restart"/>
            <w:vAlign w:val="center"/>
          </w:tcPr>
          <w:p w14:paraId="4AEEC5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酸洗机组及废酸再生</w:t>
            </w:r>
          </w:p>
        </w:tc>
        <w:tc>
          <w:tcPr>
            <w:tcW w:w="485" w:type="pct"/>
            <w:vAlign w:val="center"/>
          </w:tcPr>
          <w:p w14:paraId="14AD86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硫酸雾</w:t>
            </w:r>
          </w:p>
        </w:tc>
        <w:tc>
          <w:tcPr>
            <w:tcW w:w="403" w:type="pct"/>
            <w:tcBorders>
              <w:right w:val="single" w:color="auto" w:sz="4" w:space="0"/>
            </w:tcBorders>
            <w:vAlign w:val="center"/>
          </w:tcPr>
          <w:p w14:paraId="264C9A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right w:val="single" w:color="auto" w:sz="4" w:space="0"/>
            </w:tcBorders>
            <w:vAlign w:val="center"/>
          </w:tcPr>
          <w:p w14:paraId="5563B5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right w:val="single" w:color="auto" w:sz="4" w:space="0"/>
            </w:tcBorders>
            <w:vAlign w:val="center"/>
          </w:tcPr>
          <w:p w14:paraId="1097A6F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right w:val="single" w:color="auto" w:sz="4" w:space="0"/>
            </w:tcBorders>
            <w:vAlign w:val="center"/>
          </w:tcPr>
          <w:p w14:paraId="018BEEC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right w:val="single" w:color="auto" w:sz="4" w:space="0"/>
            </w:tcBorders>
            <w:vAlign w:val="center"/>
          </w:tcPr>
          <w:p w14:paraId="3DBB22F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right w:val="single" w:color="auto" w:sz="4" w:space="0"/>
            </w:tcBorders>
            <w:vAlign w:val="center"/>
          </w:tcPr>
          <w:p w14:paraId="230D042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tcBorders>
            <w:vAlign w:val="center"/>
          </w:tcPr>
          <w:p w14:paraId="3531333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tcBorders>
            <w:vAlign w:val="center"/>
          </w:tcPr>
          <w:p w14:paraId="281120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tcBorders>
            <w:vAlign w:val="center"/>
          </w:tcPr>
          <w:p w14:paraId="3C574B2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r>
      <w:tr w14:paraId="4BBD03A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continue"/>
            <w:vAlign w:val="center"/>
          </w:tcPr>
          <w:p w14:paraId="1D0628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Merge w:val="continue"/>
            <w:vAlign w:val="center"/>
          </w:tcPr>
          <w:p w14:paraId="2C38D43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5" w:type="pct"/>
            <w:vAlign w:val="center"/>
          </w:tcPr>
          <w:p w14:paraId="06A16B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氯化氢</w:t>
            </w:r>
          </w:p>
        </w:tc>
        <w:tc>
          <w:tcPr>
            <w:tcW w:w="403" w:type="pct"/>
            <w:tcBorders>
              <w:right w:val="single" w:color="auto" w:sz="4" w:space="0"/>
            </w:tcBorders>
            <w:vAlign w:val="center"/>
          </w:tcPr>
          <w:p w14:paraId="2C9B28F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right w:val="single" w:color="auto" w:sz="4" w:space="0"/>
            </w:tcBorders>
            <w:vAlign w:val="center"/>
          </w:tcPr>
          <w:p w14:paraId="66F517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right w:val="single" w:color="auto" w:sz="4" w:space="0"/>
            </w:tcBorders>
            <w:vAlign w:val="center"/>
          </w:tcPr>
          <w:p w14:paraId="0C5239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right w:val="single" w:color="auto" w:sz="4" w:space="0"/>
            </w:tcBorders>
            <w:vAlign w:val="center"/>
          </w:tcPr>
          <w:p w14:paraId="101AB4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right w:val="single" w:color="auto" w:sz="4" w:space="0"/>
            </w:tcBorders>
            <w:vAlign w:val="center"/>
          </w:tcPr>
          <w:p w14:paraId="33D9E9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right w:val="single" w:color="auto" w:sz="4" w:space="0"/>
            </w:tcBorders>
            <w:vAlign w:val="center"/>
          </w:tcPr>
          <w:p w14:paraId="0805FCB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tcBorders>
            <w:vAlign w:val="center"/>
          </w:tcPr>
          <w:p w14:paraId="46946A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tcBorders>
            <w:vAlign w:val="center"/>
          </w:tcPr>
          <w:p w14:paraId="1F70DA1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tcBorders>
            <w:vAlign w:val="center"/>
          </w:tcPr>
          <w:p w14:paraId="0122268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r>
      <w:tr w14:paraId="20D23F5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continue"/>
            <w:vAlign w:val="center"/>
          </w:tcPr>
          <w:p w14:paraId="18A850C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Merge w:val="continue"/>
            <w:vAlign w:val="center"/>
          </w:tcPr>
          <w:p w14:paraId="377BD6F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5" w:type="pct"/>
            <w:vAlign w:val="center"/>
          </w:tcPr>
          <w:p w14:paraId="4741FB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硝酸雾</w:t>
            </w:r>
          </w:p>
        </w:tc>
        <w:tc>
          <w:tcPr>
            <w:tcW w:w="403" w:type="pct"/>
            <w:tcBorders>
              <w:right w:val="single" w:color="auto" w:sz="4" w:space="0"/>
            </w:tcBorders>
            <w:vAlign w:val="center"/>
          </w:tcPr>
          <w:p w14:paraId="2CF3AD5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03" w:type="pct"/>
            <w:tcBorders>
              <w:right w:val="single" w:color="auto" w:sz="4" w:space="0"/>
            </w:tcBorders>
            <w:vAlign w:val="center"/>
          </w:tcPr>
          <w:p w14:paraId="322253B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03" w:type="pct"/>
            <w:tcBorders>
              <w:left w:val="single" w:color="auto" w:sz="4" w:space="0"/>
              <w:right w:val="single" w:color="auto" w:sz="4" w:space="0"/>
            </w:tcBorders>
            <w:vAlign w:val="center"/>
          </w:tcPr>
          <w:p w14:paraId="6616534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03" w:type="pct"/>
            <w:tcBorders>
              <w:left w:val="single" w:color="auto" w:sz="4" w:space="0"/>
              <w:right w:val="single" w:color="auto" w:sz="4" w:space="0"/>
            </w:tcBorders>
            <w:vAlign w:val="center"/>
          </w:tcPr>
          <w:p w14:paraId="678FEC9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03" w:type="pct"/>
            <w:tcBorders>
              <w:left w:val="single" w:color="auto" w:sz="4" w:space="0"/>
              <w:right w:val="single" w:color="auto" w:sz="4" w:space="0"/>
            </w:tcBorders>
            <w:vAlign w:val="center"/>
          </w:tcPr>
          <w:p w14:paraId="18D1CB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03" w:type="pct"/>
            <w:tcBorders>
              <w:left w:val="single" w:color="auto" w:sz="4" w:space="0"/>
              <w:right w:val="single" w:color="auto" w:sz="4" w:space="0"/>
            </w:tcBorders>
            <w:vAlign w:val="center"/>
          </w:tcPr>
          <w:p w14:paraId="7298A06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03" w:type="pct"/>
            <w:tcBorders>
              <w:left w:val="single" w:color="auto" w:sz="4" w:space="0"/>
            </w:tcBorders>
            <w:vAlign w:val="center"/>
          </w:tcPr>
          <w:p w14:paraId="6C52563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03" w:type="pct"/>
            <w:tcBorders>
              <w:left w:val="single" w:color="auto" w:sz="4" w:space="0"/>
            </w:tcBorders>
            <w:vAlign w:val="center"/>
          </w:tcPr>
          <w:p w14:paraId="35514E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c>
          <w:tcPr>
            <w:tcW w:w="403" w:type="pct"/>
            <w:tcBorders>
              <w:left w:val="single" w:color="auto" w:sz="4" w:space="0"/>
            </w:tcBorders>
            <w:vAlign w:val="center"/>
          </w:tcPr>
          <w:p w14:paraId="4BE717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0.12</w:t>
            </w:r>
          </w:p>
        </w:tc>
      </w:tr>
      <w:tr w14:paraId="3067C0E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continue"/>
            <w:vAlign w:val="center"/>
          </w:tcPr>
          <w:p w14:paraId="42FA9E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Merge w:val="restart"/>
            <w:vAlign w:val="center"/>
          </w:tcPr>
          <w:p w14:paraId="20037A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涂层机组</w:t>
            </w:r>
          </w:p>
        </w:tc>
        <w:tc>
          <w:tcPr>
            <w:tcW w:w="485" w:type="pct"/>
            <w:vAlign w:val="center"/>
          </w:tcPr>
          <w:p w14:paraId="08EE00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w:t>
            </w:r>
          </w:p>
        </w:tc>
        <w:tc>
          <w:tcPr>
            <w:tcW w:w="403" w:type="pct"/>
            <w:tcBorders>
              <w:right w:val="single" w:color="auto" w:sz="4" w:space="0"/>
            </w:tcBorders>
            <w:vAlign w:val="center"/>
          </w:tcPr>
          <w:p w14:paraId="27C537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03" w:type="pct"/>
            <w:tcBorders>
              <w:right w:val="single" w:color="auto" w:sz="4" w:space="0"/>
            </w:tcBorders>
            <w:vAlign w:val="center"/>
          </w:tcPr>
          <w:p w14:paraId="22F6879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03" w:type="pct"/>
            <w:tcBorders>
              <w:left w:val="single" w:color="auto" w:sz="4" w:space="0"/>
              <w:right w:val="single" w:color="auto" w:sz="4" w:space="0"/>
            </w:tcBorders>
            <w:vAlign w:val="center"/>
          </w:tcPr>
          <w:p w14:paraId="19A4731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60CF61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03" w:type="pct"/>
            <w:tcBorders>
              <w:left w:val="single" w:color="auto" w:sz="4" w:space="0"/>
              <w:right w:val="single" w:color="auto" w:sz="4" w:space="0"/>
            </w:tcBorders>
            <w:vAlign w:val="center"/>
          </w:tcPr>
          <w:p w14:paraId="11F45E6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403" w:type="pct"/>
            <w:tcBorders>
              <w:left w:val="single" w:color="auto" w:sz="4" w:space="0"/>
              <w:right w:val="single" w:color="auto" w:sz="4" w:space="0"/>
            </w:tcBorders>
            <w:vAlign w:val="center"/>
          </w:tcPr>
          <w:p w14:paraId="0D83B6D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tcBorders>
            <w:vAlign w:val="center"/>
          </w:tcPr>
          <w:p w14:paraId="3BD62FF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03" w:type="pct"/>
            <w:tcBorders>
              <w:left w:val="single" w:color="auto" w:sz="4" w:space="0"/>
            </w:tcBorders>
            <w:vAlign w:val="center"/>
          </w:tcPr>
          <w:p w14:paraId="533D13F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403" w:type="pct"/>
            <w:tcBorders>
              <w:left w:val="single" w:color="auto" w:sz="4" w:space="0"/>
            </w:tcBorders>
            <w:vAlign w:val="center"/>
          </w:tcPr>
          <w:p w14:paraId="385AF8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r>
      <w:tr w14:paraId="251A0F1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continue"/>
            <w:vAlign w:val="center"/>
          </w:tcPr>
          <w:p w14:paraId="62F2DB6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Merge w:val="continue"/>
            <w:vAlign w:val="center"/>
          </w:tcPr>
          <w:p w14:paraId="0BFEC36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5" w:type="pct"/>
            <w:vAlign w:val="center"/>
          </w:tcPr>
          <w:p w14:paraId="21C4C5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甲苯</w:t>
            </w:r>
          </w:p>
        </w:tc>
        <w:tc>
          <w:tcPr>
            <w:tcW w:w="403" w:type="pct"/>
            <w:tcBorders>
              <w:right w:val="single" w:color="auto" w:sz="4" w:space="0"/>
            </w:tcBorders>
            <w:vAlign w:val="center"/>
          </w:tcPr>
          <w:p w14:paraId="1810CCC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03" w:type="pct"/>
            <w:tcBorders>
              <w:right w:val="single" w:color="auto" w:sz="4" w:space="0"/>
            </w:tcBorders>
            <w:vAlign w:val="center"/>
          </w:tcPr>
          <w:p w14:paraId="51F5500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03" w:type="pct"/>
            <w:tcBorders>
              <w:left w:val="single" w:color="auto" w:sz="4" w:space="0"/>
              <w:right w:val="single" w:color="auto" w:sz="4" w:space="0"/>
            </w:tcBorders>
            <w:vAlign w:val="center"/>
          </w:tcPr>
          <w:p w14:paraId="11FD4E7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56020DD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03" w:type="pct"/>
            <w:tcBorders>
              <w:left w:val="single" w:color="auto" w:sz="4" w:space="0"/>
              <w:right w:val="single" w:color="auto" w:sz="4" w:space="0"/>
            </w:tcBorders>
            <w:vAlign w:val="center"/>
          </w:tcPr>
          <w:p w14:paraId="350DC6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403" w:type="pct"/>
            <w:tcBorders>
              <w:left w:val="single" w:color="auto" w:sz="4" w:space="0"/>
              <w:right w:val="single" w:color="auto" w:sz="4" w:space="0"/>
            </w:tcBorders>
            <w:vAlign w:val="center"/>
          </w:tcPr>
          <w:p w14:paraId="49BE03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tcBorders>
            <w:vAlign w:val="center"/>
          </w:tcPr>
          <w:p w14:paraId="0B4B70A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03" w:type="pct"/>
            <w:tcBorders>
              <w:left w:val="single" w:color="auto" w:sz="4" w:space="0"/>
            </w:tcBorders>
            <w:vAlign w:val="center"/>
          </w:tcPr>
          <w:p w14:paraId="3CAEA27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2.4</w:t>
            </w:r>
          </w:p>
        </w:tc>
        <w:tc>
          <w:tcPr>
            <w:tcW w:w="403" w:type="pct"/>
            <w:tcBorders>
              <w:left w:val="single" w:color="auto" w:sz="4" w:space="0"/>
            </w:tcBorders>
            <w:vAlign w:val="center"/>
          </w:tcPr>
          <w:p w14:paraId="064933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r>
      <w:tr w14:paraId="28FFEA6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continue"/>
            <w:vAlign w:val="center"/>
          </w:tcPr>
          <w:p w14:paraId="2A316FA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Merge w:val="continue"/>
            <w:vAlign w:val="center"/>
          </w:tcPr>
          <w:p w14:paraId="1C069EE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5" w:type="pct"/>
            <w:vAlign w:val="center"/>
          </w:tcPr>
          <w:p w14:paraId="4B7C9A0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二甲苯</w:t>
            </w:r>
          </w:p>
        </w:tc>
        <w:tc>
          <w:tcPr>
            <w:tcW w:w="403" w:type="pct"/>
            <w:tcBorders>
              <w:right w:val="single" w:color="auto" w:sz="4" w:space="0"/>
            </w:tcBorders>
            <w:vAlign w:val="center"/>
          </w:tcPr>
          <w:p w14:paraId="54E036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right w:val="single" w:color="auto" w:sz="4" w:space="0"/>
            </w:tcBorders>
            <w:vAlign w:val="center"/>
          </w:tcPr>
          <w:p w14:paraId="627232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right w:val="single" w:color="auto" w:sz="4" w:space="0"/>
            </w:tcBorders>
            <w:vAlign w:val="center"/>
          </w:tcPr>
          <w:p w14:paraId="2769FE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2977247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right w:val="single" w:color="auto" w:sz="4" w:space="0"/>
            </w:tcBorders>
            <w:vAlign w:val="center"/>
          </w:tcPr>
          <w:p w14:paraId="378450B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right w:val="single" w:color="auto" w:sz="4" w:space="0"/>
            </w:tcBorders>
            <w:vAlign w:val="center"/>
          </w:tcPr>
          <w:p w14:paraId="5DC9709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403" w:type="pct"/>
            <w:tcBorders>
              <w:left w:val="single" w:color="auto" w:sz="4" w:space="0"/>
            </w:tcBorders>
            <w:vAlign w:val="center"/>
          </w:tcPr>
          <w:p w14:paraId="509D5C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tcBorders>
            <w:vAlign w:val="center"/>
          </w:tcPr>
          <w:p w14:paraId="780FFCE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1.2</w:t>
            </w:r>
          </w:p>
        </w:tc>
        <w:tc>
          <w:tcPr>
            <w:tcW w:w="403" w:type="pct"/>
            <w:tcBorders>
              <w:left w:val="single" w:color="auto" w:sz="4" w:space="0"/>
            </w:tcBorders>
            <w:vAlign w:val="center"/>
          </w:tcPr>
          <w:p w14:paraId="07267D4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r>
      <w:tr w14:paraId="5D63183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387" w:type="pct"/>
            <w:vMerge w:val="continue"/>
            <w:vAlign w:val="center"/>
          </w:tcPr>
          <w:p w14:paraId="7C2220C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500" w:type="pct"/>
            <w:vMerge w:val="continue"/>
            <w:vAlign w:val="center"/>
          </w:tcPr>
          <w:p w14:paraId="78A7E18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5" w:type="pct"/>
            <w:vAlign w:val="center"/>
          </w:tcPr>
          <w:p w14:paraId="764DC6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非甲烷总烃</w:t>
            </w:r>
          </w:p>
        </w:tc>
        <w:tc>
          <w:tcPr>
            <w:tcW w:w="403" w:type="pct"/>
            <w:tcBorders>
              <w:right w:val="single" w:color="auto" w:sz="4" w:space="0"/>
            </w:tcBorders>
            <w:vAlign w:val="center"/>
          </w:tcPr>
          <w:p w14:paraId="682B335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403" w:type="pct"/>
            <w:tcBorders>
              <w:right w:val="single" w:color="auto" w:sz="4" w:space="0"/>
            </w:tcBorders>
            <w:vAlign w:val="center"/>
          </w:tcPr>
          <w:p w14:paraId="1F9E6E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403" w:type="pct"/>
            <w:tcBorders>
              <w:left w:val="single" w:color="auto" w:sz="4" w:space="0"/>
              <w:right w:val="single" w:color="auto" w:sz="4" w:space="0"/>
            </w:tcBorders>
            <w:vAlign w:val="center"/>
          </w:tcPr>
          <w:p w14:paraId="16D377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3451C4B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403" w:type="pct"/>
            <w:tcBorders>
              <w:left w:val="single" w:color="auto" w:sz="4" w:space="0"/>
              <w:right w:val="single" w:color="auto" w:sz="4" w:space="0"/>
            </w:tcBorders>
            <w:vAlign w:val="center"/>
          </w:tcPr>
          <w:p w14:paraId="102B074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403" w:type="pct"/>
            <w:tcBorders>
              <w:left w:val="single" w:color="auto" w:sz="4" w:space="0"/>
              <w:right w:val="single" w:color="auto" w:sz="4" w:space="0"/>
            </w:tcBorders>
            <w:vAlign w:val="center"/>
          </w:tcPr>
          <w:p w14:paraId="4F757A1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403" w:type="pct"/>
            <w:tcBorders>
              <w:left w:val="single" w:color="auto" w:sz="4" w:space="0"/>
            </w:tcBorders>
            <w:vAlign w:val="center"/>
          </w:tcPr>
          <w:p w14:paraId="7306E3E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w:t>
            </w:r>
          </w:p>
        </w:tc>
        <w:tc>
          <w:tcPr>
            <w:tcW w:w="403" w:type="pct"/>
            <w:tcBorders>
              <w:left w:val="single" w:color="auto" w:sz="4" w:space="0"/>
            </w:tcBorders>
            <w:vAlign w:val="center"/>
          </w:tcPr>
          <w:p w14:paraId="60D863F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4.0</w:t>
            </w:r>
          </w:p>
        </w:tc>
        <w:tc>
          <w:tcPr>
            <w:tcW w:w="403" w:type="pct"/>
            <w:tcBorders>
              <w:left w:val="single" w:color="auto" w:sz="4" w:space="0"/>
            </w:tcBorders>
            <w:vAlign w:val="center"/>
          </w:tcPr>
          <w:p w14:paraId="4A89644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r>
      <w:tr w14:paraId="588760F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887" w:type="pct"/>
            <w:gridSpan w:val="2"/>
            <w:vMerge w:val="restart"/>
            <w:vAlign w:val="center"/>
          </w:tcPr>
          <w:p w14:paraId="50086E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厂界</w:t>
            </w:r>
          </w:p>
        </w:tc>
        <w:tc>
          <w:tcPr>
            <w:tcW w:w="485" w:type="pct"/>
            <w:vAlign w:val="center"/>
          </w:tcPr>
          <w:p w14:paraId="6566DD6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403" w:type="pct"/>
            <w:tcBorders>
              <w:right w:val="single" w:color="auto" w:sz="4" w:space="0"/>
            </w:tcBorders>
            <w:vAlign w:val="center"/>
          </w:tcPr>
          <w:p w14:paraId="2151589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right w:val="single" w:color="auto" w:sz="4" w:space="0"/>
            </w:tcBorders>
            <w:vAlign w:val="center"/>
          </w:tcPr>
          <w:p w14:paraId="04E151D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03" w:type="pct"/>
            <w:tcBorders>
              <w:left w:val="single" w:color="auto" w:sz="4" w:space="0"/>
              <w:right w:val="single" w:color="auto" w:sz="4" w:space="0"/>
            </w:tcBorders>
            <w:vAlign w:val="center"/>
          </w:tcPr>
          <w:p w14:paraId="30ECA8F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03" w:type="pct"/>
            <w:tcBorders>
              <w:left w:val="single" w:color="auto" w:sz="4" w:space="0"/>
              <w:right w:val="single" w:color="auto" w:sz="4" w:space="0"/>
            </w:tcBorders>
            <w:vAlign w:val="center"/>
          </w:tcPr>
          <w:p w14:paraId="2F9CD1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03" w:type="pct"/>
            <w:tcBorders>
              <w:left w:val="single" w:color="auto" w:sz="4" w:space="0"/>
              <w:right w:val="single" w:color="auto" w:sz="4" w:space="0"/>
            </w:tcBorders>
            <w:vAlign w:val="center"/>
          </w:tcPr>
          <w:p w14:paraId="1F02C0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03" w:type="pct"/>
            <w:tcBorders>
              <w:left w:val="single" w:color="auto" w:sz="4" w:space="0"/>
              <w:right w:val="single" w:color="auto" w:sz="4" w:space="0"/>
            </w:tcBorders>
            <w:vAlign w:val="center"/>
          </w:tcPr>
          <w:p w14:paraId="31BD71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03" w:type="pct"/>
            <w:tcBorders>
              <w:left w:val="single" w:color="auto" w:sz="4" w:space="0"/>
            </w:tcBorders>
            <w:vAlign w:val="center"/>
          </w:tcPr>
          <w:p w14:paraId="5B2D9C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tcBorders>
            <w:vAlign w:val="center"/>
          </w:tcPr>
          <w:p w14:paraId="441E622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c>
          <w:tcPr>
            <w:tcW w:w="403" w:type="pct"/>
            <w:tcBorders>
              <w:left w:val="single" w:color="auto" w:sz="4" w:space="0"/>
            </w:tcBorders>
            <w:vAlign w:val="center"/>
          </w:tcPr>
          <w:p w14:paraId="7BF230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1.0</w:t>
            </w:r>
          </w:p>
        </w:tc>
      </w:tr>
      <w:tr w14:paraId="34C6495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887" w:type="pct"/>
            <w:gridSpan w:val="2"/>
            <w:vMerge w:val="continue"/>
            <w:vAlign w:val="center"/>
          </w:tcPr>
          <w:p w14:paraId="540C5C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485" w:type="pct"/>
            <w:vAlign w:val="center"/>
          </w:tcPr>
          <w:p w14:paraId="3C961A1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403" w:type="pct"/>
            <w:tcBorders>
              <w:right w:val="single" w:color="auto" w:sz="4" w:space="0"/>
            </w:tcBorders>
            <w:vAlign w:val="center"/>
          </w:tcPr>
          <w:p w14:paraId="09AC4B1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right w:val="single" w:color="auto" w:sz="4" w:space="0"/>
            </w:tcBorders>
            <w:vAlign w:val="center"/>
          </w:tcPr>
          <w:p w14:paraId="79F6590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52FC8B7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601E0A9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3EA595A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right w:val="single" w:color="auto" w:sz="4" w:space="0"/>
            </w:tcBorders>
            <w:vAlign w:val="center"/>
          </w:tcPr>
          <w:p w14:paraId="336C2C0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tcBorders>
            <w:vAlign w:val="center"/>
          </w:tcPr>
          <w:p w14:paraId="2485906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403" w:type="pct"/>
            <w:tcBorders>
              <w:left w:val="single" w:color="auto" w:sz="4" w:space="0"/>
            </w:tcBorders>
            <w:vAlign w:val="center"/>
          </w:tcPr>
          <w:p w14:paraId="1EDF7B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403" w:type="pct"/>
            <w:tcBorders>
              <w:left w:val="single" w:color="auto" w:sz="4" w:space="0"/>
            </w:tcBorders>
            <w:vAlign w:val="center"/>
          </w:tcPr>
          <w:p w14:paraId="1D18558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r>
    </w:tbl>
    <w:p w14:paraId="4D44E66C">
      <w:pPr>
        <w:spacing w:before="163" w:beforeLines="50" w:line="235" w:lineRule="auto"/>
        <w:jc w:val="center"/>
        <w:rPr>
          <w:rFonts w:ascii="Times New Roman" w:hAnsi="Times New Roman" w:cs="Times New Roman"/>
          <w:b/>
          <w:bCs/>
          <w:color w:val="000000"/>
          <w:szCs w:val="32"/>
        </w:rPr>
      </w:pPr>
    </w:p>
    <w:p w14:paraId="7DED5A33">
      <w:pPr>
        <w:rPr>
          <w:rFonts w:ascii="Times New Roman" w:hAnsi="Times New Roman" w:cs="Times New Roman"/>
          <w:b/>
          <w:bCs/>
          <w:color w:val="000000"/>
          <w:szCs w:val="32"/>
        </w:rPr>
        <w:sectPr>
          <w:pgSz w:w="16838" w:h="11906" w:orient="landscape"/>
          <w:pgMar w:top="1800" w:right="1440" w:bottom="1560" w:left="1440" w:header="851" w:footer="992" w:gutter="0"/>
          <w:cols w:space="425" w:num="1"/>
          <w:docGrid w:type="lines" w:linePitch="326" w:charSpace="0"/>
        </w:sectPr>
      </w:pPr>
    </w:p>
    <w:p w14:paraId="5A2C00B8">
      <w:pPr>
        <w:rPr>
          <w:rFonts w:ascii="Times New Roman" w:hAnsi="Times New Roman" w:cs="Times New Roman"/>
          <w:b/>
          <w:bCs/>
          <w:color w:val="000000"/>
          <w:szCs w:val="32"/>
        </w:rPr>
      </w:pPr>
    </w:p>
    <w:p w14:paraId="33B62759">
      <w:pPr>
        <w:spacing w:before="163" w:beforeLines="50" w:line="235" w:lineRule="auto"/>
        <w:jc w:val="center"/>
        <w:rPr>
          <w:rFonts w:ascii="Times New Roman" w:hAnsi="Times New Roman" w:cs="Times New Roman"/>
          <w:b/>
          <w:bCs/>
          <w:color w:val="000000"/>
          <w:szCs w:val="32"/>
        </w:rPr>
      </w:pPr>
      <w:r>
        <w:rPr>
          <w:rFonts w:hint="eastAsia" w:ascii="Times New Roman" w:hAnsi="Times New Roman" w:cs="Times New Roman"/>
          <w:b/>
          <w:bCs/>
          <w:color w:val="000000"/>
          <w:szCs w:val="32"/>
        </w:rPr>
        <w:t>表</w:t>
      </w:r>
      <w:r>
        <w:rPr>
          <w:rFonts w:ascii="Times New Roman" w:hAnsi="Times New Roman" w:cs="Times New Roman"/>
          <w:b/>
          <w:bCs/>
          <w:color w:val="000000"/>
          <w:szCs w:val="32"/>
        </w:rPr>
        <w:t xml:space="preserve">6-7  </w:t>
      </w:r>
      <w:r>
        <w:rPr>
          <w:rFonts w:hint="eastAsia" w:ascii="Times New Roman" w:hAnsi="Times New Roman" w:cs="Times New Roman"/>
          <w:b/>
          <w:bCs/>
          <w:color w:val="000000"/>
          <w:szCs w:val="32"/>
        </w:rPr>
        <w:t>大气污染物无组织排放浓度限值（焦化工序）</w:t>
      </w:r>
    </w:p>
    <w:p w14:paraId="2B7F5779">
      <w:pPr>
        <w:jc w:val="right"/>
        <w:rPr>
          <w:rFonts w:ascii="Times New Roman" w:hAnsi="Times New Roman" w:cs="Times New Roman"/>
          <w:sz w:val="18"/>
          <w:szCs w:val="18"/>
        </w:rPr>
      </w:pPr>
      <w:r>
        <w:rPr>
          <w:rFonts w:ascii="Times New Roman" w:hAnsi="Times New Roman" w:cs="Times New Roman"/>
          <w:sz w:val="18"/>
          <w:szCs w:val="18"/>
        </w:rPr>
        <w:t>单位：mg/m</w:t>
      </w:r>
      <w:r>
        <w:rPr>
          <w:rFonts w:ascii="Times New Roman" w:hAnsi="Times New Roman" w:cs="Times New Roman"/>
          <w:sz w:val="18"/>
          <w:szCs w:val="18"/>
          <w:vertAlign w:val="superscript"/>
        </w:rPr>
        <w:t>3</w:t>
      </w:r>
      <w:r>
        <w:rPr>
          <w:rFonts w:ascii="Times New Roman" w:hAnsi="Times New Roman" w:cs="Times New Roman"/>
          <w:sz w:val="18"/>
          <w:szCs w:val="18"/>
        </w:rPr>
        <w:t>（苯并[a]芘除外）</w:t>
      </w:r>
    </w:p>
    <w:tbl>
      <w:tblPr>
        <w:tblStyle w:val="27"/>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938"/>
        <w:gridCol w:w="1252"/>
        <w:gridCol w:w="1522"/>
        <w:gridCol w:w="1245"/>
        <w:gridCol w:w="1248"/>
        <w:gridCol w:w="1385"/>
        <w:gridCol w:w="932"/>
      </w:tblGrid>
      <w:tr w14:paraId="6FA3B1F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restart"/>
            <w:vAlign w:val="center"/>
          </w:tcPr>
          <w:p w14:paraId="67E3586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生产工序</w:t>
            </w:r>
          </w:p>
        </w:tc>
        <w:tc>
          <w:tcPr>
            <w:tcW w:w="734" w:type="pct"/>
            <w:vMerge w:val="restart"/>
            <w:vAlign w:val="center"/>
          </w:tcPr>
          <w:p w14:paraId="338940A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生产工艺或设施</w:t>
            </w:r>
          </w:p>
        </w:tc>
        <w:tc>
          <w:tcPr>
            <w:tcW w:w="892" w:type="pct"/>
            <w:vMerge w:val="restart"/>
            <w:vAlign w:val="center"/>
          </w:tcPr>
          <w:p w14:paraId="1E4CE8B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污染物项目</w:t>
            </w:r>
          </w:p>
        </w:tc>
        <w:tc>
          <w:tcPr>
            <w:tcW w:w="2822" w:type="pct"/>
            <w:gridSpan w:val="4"/>
            <w:vAlign w:val="center"/>
          </w:tcPr>
          <w:p w14:paraId="2E7FE8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排放浓度限值</w:t>
            </w:r>
          </w:p>
        </w:tc>
      </w:tr>
      <w:tr w14:paraId="1A44970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33ED942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1D376E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Merge w:val="continue"/>
            <w:vAlign w:val="center"/>
          </w:tcPr>
          <w:p w14:paraId="42FB3BD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0" w:type="pct"/>
            <w:tcBorders>
              <w:right w:val="single" w:color="auto" w:sz="4" w:space="0"/>
            </w:tcBorders>
            <w:vAlign w:val="center"/>
          </w:tcPr>
          <w:p w14:paraId="3A86D32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现行国标GB 16171.1-2024</w:t>
            </w:r>
          </w:p>
        </w:tc>
        <w:tc>
          <w:tcPr>
            <w:tcW w:w="732" w:type="pct"/>
            <w:tcBorders>
              <w:left w:val="single" w:color="auto" w:sz="4" w:space="0"/>
              <w:right w:val="single" w:color="auto" w:sz="4" w:space="0"/>
            </w:tcBorders>
            <w:vAlign w:val="center"/>
          </w:tcPr>
          <w:p w14:paraId="06F163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河北省标准（DB13/2863-2018）</w:t>
            </w:r>
          </w:p>
        </w:tc>
        <w:tc>
          <w:tcPr>
            <w:tcW w:w="812" w:type="pct"/>
            <w:tcBorders>
              <w:left w:val="single" w:color="auto" w:sz="4" w:space="0"/>
              <w:right w:val="single" w:color="auto" w:sz="4" w:space="0"/>
            </w:tcBorders>
            <w:vAlign w:val="center"/>
          </w:tcPr>
          <w:p w14:paraId="70F8F91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天津市标准（DB12/1120-2022）</w:t>
            </w:r>
          </w:p>
        </w:tc>
        <w:tc>
          <w:tcPr>
            <w:tcW w:w="546" w:type="pct"/>
            <w:tcBorders>
              <w:left w:val="single" w:color="auto" w:sz="4" w:space="0"/>
            </w:tcBorders>
            <w:vAlign w:val="center"/>
          </w:tcPr>
          <w:p w14:paraId="5337E66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拟定限值</w:t>
            </w:r>
          </w:p>
        </w:tc>
      </w:tr>
      <w:tr w14:paraId="02ACCFA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restart"/>
            <w:vAlign w:val="center"/>
          </w:tcPr>
          <w:p w14:paraId="6CD36FC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焦化</w:t>
            </w:r>
          </w:p>
        </w:tc>
        <w:tc>
          <w:tcPr>
            <w:tcW w:w="734" w:type="pct"/>
            <w:vMerge w:val="restart"/>
            <w:vAlign w:val="center"/>
          </w:tcPr>
          <w:p w14:paraId="3BDA036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焦化厂界</w:t>
            </w:r>
          </w:p>
        </w:tc>
        <w:tc>
          <w:tcPr>
            <w:tcW w:w="892" w:type="pct"/>
            <w:vAlign w:val="center"/>
          </w:tcPr>
          <w:p w14:paraId="33548BC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苯并[a]芘</w:t>
            </w:r>
          </w:p>
          <w:p w14:paraId="584EC98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（μg/m</w:t>
            </w:r>
            <w:r>
              <w:rPr>
                <w:rFonts w:hint="eastAsia" w:ascii="Times New Roman" w:hAnsi="Times New Roman" w:cs="Times New Roman"/>
                <w:color w:val="000000"/>
                <w:sz w:val="22"/>
                <w:szCs w:val="20"/>
                <w:vertAlign w:val="superscript"/>
              </w:rPr>
              <w:t>3</w:t>
            </w:r>
            <w:r>
              <w:rPr>
                <w:rFonts w:hint="eastAsia" w:ascii="Times New Roman" w:hAnsi="Times New Roman" w:cs="Times New Roman"/>
                <w:color w:val="000000"/>
                <w:sz w:val="22"/>
                <w:szCs w:val="20"/>
              </w:rPr>
              <w:t>）</w:t>
            </w:r>
          </w:p>
        </w:tc>
        <w:tc>
          <w:tcPr>
            <w:tcW w:w="730" w:type="pct"/>
            <w:tcBorders>
              <w:right w:val="single" w:color="auto" w:sz="4" w:space="0"/>
            </w:tcBorders>
            <w:vAlign w:val="center"/>
          </w:tcPr>
          <w:p w14:paraId="4783B1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732" w:type="pct"/>
            <w:tcBorders>
              <w:left w:val="single" w:color="auto" w:sz="4" w:space="0"/>
              <w:right w:val="single" w:color="auto" w:sz="4" w:space="0"/>
            </w:tcBorders>
            <w:vAlign w:val="center"/>
          </w:tcPr>
          <w:p w14:paraId="54899FD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812" w:type="pct"/>
            <w:tcBorders>
              <w:left w:val="single" w:color="auto" w:sz="4" w:space="0"/>
              <w:right w:val="single" w:color="auto" w:sz="4" w:space="0"/>
            </w:tcBorders>
            <w:vAlign w:val="center"/>
          </w:tcPr>
          <w:p w14:paraId="63543D5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546" w:type="pct"/>
            <w:tcBorders>
              <w:left w:val="single" w:color="auto" w:sz="4" w:space="0"/>
            </w:tcBorders>
            <w:vAlign w:val="center"/>
          </w:tcPr>
          <w:p w14:paraId="173D4F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r>
      <w:tr w14:paraId="0ABA2BF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131355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4E4F298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10E764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氰化氢</w:t>
            </w:r>
          </w:p>
        </w:tc>
        <w:tc>
          <w:tcPr>
            <w:tcW w:w="730" w:type="pct"/>
            <w:tcBorders>
              <w:right w:val="single" w:color="auto" w:sz="4" w:space="0"/>
            </w:tcBorders>
            <w:vAlign w:val="center"/>
          </w:tcPr>
          <w:p w14:paraId="1CC437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c>
          <w:tcPr>
            <w:tcW w:w="732" w:type="pct"/>
            <w:tcBorders>
              <w:left w:val="single" w:color="auto" w:sz="4" w:space="0"/>
              <w:right w:val="single" w:color="auto" w:sz="4" w:space="0"/>
            </w:tcBorders>
            <w:vAlign w:val="center"/>
          </w:tcPr>
          <w:p w14:paraId="678BD78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0.024</w:t>
            </w:r>
          </w:p>
        </w:tc>
        <w:tc>
          <w:tcPr>
            <w:tcW w:w="812" w:type="pct"/>
            <w:tcBorders>
              <w:left w:val="single" w:color="auto" w:sz="4" w:space="0"/>
              <w:right w:val="single" w:color="auto" w:sz="4" w:space="0"/>
            </w:tcBorders>
            <w:vAlign w:val="center"/>
          </w:tcPr>
          <w:p w14:paraId="0DC722A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0.024</w:t>
            </w:r>
          </w:p>
        </w:tc>
        <w:tc>
          <w:tcPr>
            <w:tcW w:w="546" w:type="pct"/>
            <w:tcBorders>
              <w:left w:val="single" w:color="auto" w:sz="4" w:space="0"/>
            </w:tcBorders>
            <w:vAlign w:val="center"/>
          </w:tcPr>
          <w:p w14:paraId="6D9899D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r>
      <w:tr w14:paraId="0193F2C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74BC5FC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7B3F41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1602E0E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w:t>
            </w:r>
          </w:p>
        </w:tc>
        <w:tc>
          <w:tcPr>
            <w:tcW w:w="730" w:type="pct"/>
            <w:tcBorders>
              <w:right w:val="single" w:color="auto" w:sz="4" w:space="0"/>
            </w:tcBorders>
            <w:vAlign w:val="center"/>
          </w:tcPr>
          <w:p w14:paraId="103A7F9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732" w:type="pct"/>
            <w:tcBorders>
              <w:left w:val="single" w:color="auto" w:sz="4" w:space="0"/>
              <w:right w:val="single" w:color="auto" w:sz="4" w:space="0"/>
            </w:tcBorders>
            <w:vAlign w:val="center"/>
          </w:tcPr>
          <w:p w14:paraId="6940B5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812" w:type="pct"/>
            <w:tcBorders>
              <w:left w:val="single" w:color="auto" w:sz="4" w:space="0"/>
              <w:right w:val="single" w:color="auto" w:sz="4" w:space="0"/>
            </w:tcBorders>
            <w:vAlign w:val="center"/>
          </w:tcPr>
          <w:p w14:paraId="479E92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0.4</w:t>
            </w:r>
          </w:p>
        </w:tc>
        <w:tc>
          <w:tcPr>
            <w:tcW w:w="546" w:type="pct"/>
            <w:tcBorders>
              <w:left w:val="single" w:color="auto" w:sz="4" w:space="0"/>
            </w:tcBorders>
            <w:vAlign w:val="center"/>
          </w:tcPr>
          <w:p w14:paraId="0B0DE2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r>
      <w:tr w14:paraId="27CA582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78269DD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485E426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2A391C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酚类化合物</w:t>
            </w:r>
          </w:p>
        </w:tc>
        <w:tc>
          <w:tcPr>
            <w:tcW w:w="730" w:type="pct"/>
            <w:tcBorders>
              <w:right w:val="single" w:color="auto" w:sz="4" w:space="0"/>
            </w:tcBorders>
            <w:vAlign w:val="center"/>
          </w:tcPr>
          <w:p w14:paraId="51750D0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c>
          <w:tcPr>
            <w:tcW w:w="732" w:type="pct"/>
            <w:tcBorders>
              <w:left w:val="single" w:color="auto" w:sz="4" w:space="0"/>
              <w:right w:val="single" w:color="auto" w:sz="4" w:space="0"/>
            </w:tcBorders>
            <w:vAlign w:val="center"/>
          </w:tcPr>
          <w:p w14:paraId="41950D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c>
          <w:tcPr>
            <w:tcW w:w="812" w:type="pct"/>
            <w:tcBorders>
              <w:left w:val="single" w:color="auto" w:sz="4" w:space="0"/>
              <w:right w:val="single" w:color="auto" w:sz="4" w:space="0"/>
            </w:tcBorders>
            <w:vAlign w:val="center"/>
          </w:tcPr>
          <w:p w14:paraId="6963C8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c>
          <w:tcPr>
            <w:tcW w:w="546" w:type="pct"/>
            <w:tcBorders>
              <w:left w:val="single" w:color="auto" w:sz="4" w:space="0"/>
            </w:tcBorders>
            <w:vAlign w:val="center"/>
          </w:tcPr>
          <w:p w14:paraId="09913EB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0.02</w:t>
            </w:r>
          </w:p>
        </w:tc>
      </w:tr>
      <w:tr w14:paraId="087732C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3E5DAE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033D66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748C6AC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硫化氢</w:t>
            </w:r>
          </w:p>
        </w:tc>
        <w:tc>
          <w:tcPr>
            <w:tcW w:w="730" w:type="pct"/>
            <w:tcBorders>
              <w:right w:val="single" w:color="auto" w:sz="4" w:space="0"/>
            </w:tcBorders>
            <w:vAlign w:val="center"/>
          </w:tcPr>
          <w:p w14:paraId="5C37DB6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732" w:type="pct"/>
            <w:tcBorders>
              <w:left w:val="single" w:color="auto" w:sz="4" w:space="0"/>
              <w:right w:val="single" w:color="auto" w:sz="4" w:space="0"/>
            </w:tcBorders>
            <w:vAlign w:val="center"/>
          </w:tcPr>
          <w:p w14:paraId="24AF99A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812" w:type="pct"/>
            <w:tcBorders>
              <w:left w:val="single" w:color="auto" w:sz="4" w:space="0"/>
              <w:right w:val="single" w:color="auto" w:sz="4" w:space="0"/>
            </w:tcBorders>
            <w:vAlign w:val="center"/>
          </w:tcPr>
          <w:p w14:paraId="11CBBDB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c>
          <w:tcPr>
            <w:tcW w:w="546" w:type="pct"/>
            <w:tcBorders>
              <w:left w:val="single" w:color="auto" w:sz="4" w:space="0"/>
            </w:tcBorders>
            <w:vAlign w:val="center"/>
          </w:tcPr>
          <w:p w14:paraId="79BB535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0.01</w:t>
            </w:r>
          </w:p>
        </w:tc>
      </w:tr>
      <w:tr w14:paraId="5DF5628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344E3E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62A188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46EFDBE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730" w:type="pct"/>
            <w:tcBorders>
              <w:right w:val="single" w:color="auto" w:sz="4" w:space="0"/>
            </w:tcBorders>
            <w:vAlign w:val="center"/>
          </w:tcPr>
          <w:p w14:paraId="48283F6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732" w:type="pct"/>
            <w:tcBorders>
              <w:left w:val="single" w:color="auto" w:sz="4" w:space="0"/>
              <w:right w:val="single" w:color="auto" w:sz="4" w:space="0"/>
            </w:tcBorders>
            <w:vAlign w:val="center"/>
          </w:tcPr>
          <w:p w14:paraId="5C22AF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812" w:type="pct"/>
            <w:tcBorders>
              <w:left w:val="single" w:color="auto" w:sz="4" w:space="0"/>
              <w:right w:val="single" w:color="auto" w:sz="4" w:space="0"/>
            </w:tcBorders>
            <w:vAlign w:val="center"/>
          </w:tcPr>
          <w:p w14:paraId="42FF210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c>
          <w:tcPr>
            <w:tcW w:w="546" w:type="pct"/>
            <w:tcBorders>
              <w:left w:val="single" w:color="auto" w:sz="4" w:space="0"/>
            </w:tcBorders>
            <w:vAlign w:val="center"/>
          </w:tcPr>
          <w:p w14:paraId="6C4F50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0.2</w:t>
            </w:r>
          </w:p>
        </w:tc>
      </w:tr>
      <w:tr w14:paraId="4E9C600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6EF032B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64B008E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5D3027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非甲烷总烃</w:t>
            </w:r>
          </w:p>
        </w:tc>
        <w:tc>
          <w:tcPr>
            <w:tcW w:w="730" w:type="pct"/>
            <w:tcBorders>
              <w:right w:val="single" w:color="auto" w:sz="4" w:space="0"/>
            </w:tcBorders>
            <w:vAlign w:val="center"/>
          </w:tcPr>
          <w:p w14:paraId="23E4A32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w:t>
            </w:r>
          </w:p>
        </w:tc>
        <w:tc>
          <w:tcPr>
            <w:tcW w:w="732" w:type="pct"/>
            <w:tcBorders>
              <w:left w:val="single" w:color="auto" w:sz="4" w:space="0"/>
              <w:right w:val="single" w:color="auto" w:sz="4" w:space="0"/>
            </w:tcBorders>
            <w:vAlign w:val="center"/>
          </w:tcPr>
          <w:p w14:paraId="560C89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812" w:type="pct"/>
            <w:tcBorders>
              <w:left w:val="single" w:color="auto" w:sz="4" w:space="0"/>
              <w:right w:val="single" w:color="auto" w:sz="4" w:space="0"/>
            </w:tcBorders>
            <w:vAlign w:val="center"/>
          </w:tcPr>
          <w:p w14:paraId="05362DA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w:t>
            </w:r>
          </w:p>
        </w:tc>
        <w:tc>
          <w:tcPr>
            <w:tcW w:w="546" w:type="pct"/>
            <w:tcBorders>
              <w:left w:val="single" w:color="auto" w:sz="4" w:space="0"/>
            </w:tcBorders>
            <w:vAlign w:val="center"/>
          </w:tcPr>
          <w:p w14:paraId="51B0BB9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w:t>
            </w:r>
          </w:p>
        </w:tc>
      </w:tr>
      <w:tr w14:paraId="23CA0A6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6FC7674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restart"/>
            <w:vAlign w:val="center"/>
          </w:tcPr>
          <w:p w14:paraId="01CCAF5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焦炉炉顶</w:t>
            </w:r>
          </w:p>
        </w:tc>
        <w:tc>
          <w:tcPr>
            <w:tcW w:w="892" w:type="pct"/>
            <w:vAlign w:val="center"/>
          </w:tcPr>
          <w:p w14:paraId="79C3F7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颗粒物</w:t>
            </w:r>
          </w:p>
        </w:tc>
        <w:tc>
          <w:tcPr>
            <w:tcW w:w="730" w:type="pct"/>
            <w:tcBorders>
              <w:right w:val="single" w:color="auto" w:sz="4" w:space="0"/>
            </w:tcBorders>
            <w:vAlign w:val="center"/>
          </w:tcPr>
          <w:p w14:paraId="6414DB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732" w:type="pct"/>
            <w:tcBorders>
              <w:left w:val="single" w:color="auto" w:sz="4" w:space="0"/>
              <w:right w:val="single" w:color="auto" w:sz="4" w:space="0"/>
            </w:tcBorders>
            <w:vAlign w:val="center"/>
          </w:tcPr>
          <w:p w14:paraId="6F35456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812" w:type="pct"/>
            <w:tcBorders>
              <w:left w:val="single" w:color="auto" w:sz="4" w:space="0"/>
              <w:right w:val="single" w:color="auto" w:sz="4" w:space="0"/>
            </w:tcBorders>
            <w:vAlign w:val="center"/>
          </w:tcPr>
          <w:p w14:paraId="5D530E8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546" w:type="pct"/>
            <w:tcBorders>
              <w:left w:val="single" w:color="auto" w:sz="4" w:space="0"/>
            </w:tcBorders>
            <w:vAlign w:val="center"/>
          </w:tcPr>
          <w:p w14:paraId="3D55A2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r>
      <w:tr w14:paraId="61DB1A1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4CA5431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457CC73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7EC7757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苯并[a]芘</w:t>
            </w:r>
          </w:p>
          <w:p w14:paraId="4C0255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（μg/m</w:t>
            </w:r>
            <w:r>
              <w:rPr>
                <w:rFonts w:hint="eastAsia" w:ascii="Times New Roman" w:hAnsi="Times New Roman" w:cs="Times New Roman"/>
                <w:color w:val="000000"/>
                <w:sz w:val="22"/>
                <w:szCs w:val="20"/>
                <w:vertAlign w:val="superscript"/>
              </w:rPr>
              <w:t>3</w:t>
            </w:r>
            <w:r>
              <w:rPr>
                <w:rFonts w:hint="eastAsia" w:ascii="Times New Roman" w:hAnsi="Times New Roman" w:cs="Times New Roman"/>
                <w:color w:val="000000"/>
                <w:sz w:val="22"/>
                <w:szCs w:val="20"/>
              </w:rPr>
              <w:t>）</w:t>
            </w:r>
          </w:p>
        </w:tc>
        <w:tc>
          <w:tcPr>
            <w:tcW w:w="730" w:type="pct"/>
            <w:tcBorders>
              <w:right w:val="single" w:color="auto" w:sz="4" w:space="0"/>
            </w:tcBorders>
            <w:vAlign w:val="center"/>
          </w:tcPr>
          <w:p w14:paraId="0F9990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732" w:type="pct"/>
            <w:tcBorders>
              <w:left w:val="single" w:color="auto" w:sz="4" w:space="0"/>
              <w:right w:val="single" w:color="auto" w:sz="4" w:space="0"/>
            </w:tcBorders>
            <w:vAlign w:val="center"/>
          </w:tcPr>
          <w:p w14:paraId="20F1D2C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812" w:type="pct"/>
            <w:tcBorders>
              <w:left w:val="single" w:color="auto" w:sz="4" w:space="0"/>
              <w:right w:val="single" w:color="auto" w:sz="4" w:space="0"/>
            </w:tcBorders>
            <w:vAlign w:val="center"/>
          </w:tcPr>
          <w:p w14:paraId="6745AC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c>
          <w:tcPr>
            <w:tcW w:w="546" w:type="pct"/>
            <w:tcBorders>
              <w:left w:val="single" w:color="auto" w:sz="4" w:space="0"/>
            </w:tcBorders>
            <w:vAlign w:val="center"/>
          </w:tcPr>
          <w:p w14:paraId="77D739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2.5</w:t>
            </w:r>
          </w:p>
        </w:tc>
      </w:tr>
      <w:tr w14:paraId="080E5FA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39DA424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4978F17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38A8E3D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硫化氢</w:t>
            </w:r>
          </w:p>
        </w:tc>
        <w:tc>
          <w:tcPr>
            <w:tcW w:w="730" w:type="pct"/>
            <w:tcBorders>
              <w:right w:val="single" w:color="auto" w:sz="4" w:space="0"/>
            </w:tcBorders>
            <w:vAlign w:val="center"/>
          </w:tcPr>
          <w:p w14:paraId="2A2BAB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732" w:type="pct"/>
            <w:tcBorders>
              <w:left w:val="single" w:color="auto" w:sz="4" w:space="0"/>
              <w:right w:val="single" w:color="auto" w:sz="4" w:space="0"/>
            </w:tcBorders>
            <w:vAlign w:val="center"/>
          </w:tcPr>
          <w:p w14:paraId="41D354A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812" w:type="pct"/>
            <w:tcBorders>
              <w:left w:val="single" w:color="auto" w:sz="4" w:space="0"/>
              <w:right w:val="single" w:color="auto" w:sz="4" w:space="0"/>
            </w:tcBorders>
            <w:vAlign w:val="center"/>
          </w:tcPr>
          <w:p w14:paraId="57C381F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c>
          <w:tcPr>
            <w:tcW w:w="546" w:type="pct"/>
            <w:tcBorders>
              <w:left w:val="single" w:color="auto" w:sz="4" w:space="0"/>
            </w:tcBorders>
            <w:vAlign w:val="center"/>
          </w:tcPr>
          <w:p w14:paraId="631480D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0.1</w:t>
            </w:r>
          </w:p>
        </w:tc>
      </w:tr>
      <w:tr w14:paraId="193773A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2542C4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5505123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4EECB40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氨</w:t>
            </w:r>
          </w:p>
        </w:tc>
        <w:tc>
          <w:tcPr>
            <w:tcW w:w="730" w:type="pct"/>
            <w:tcBorders>
              <w:right w:val="single" w:color="auto" w:sz="4" w:space="0"/>
            </w:tcBorders>
            <w:vAlign w:val="center"/>
          </w:tcPr>
          <w:p w14:paraId="2A60718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732" w:type="pct"/>
            <w:tcBorders>
              <w:left w:val="single" w:color="auto" w:sz="4" w:space="0"/>
              <w:right w:val="single" w:color="auto" w:sz="4" w:space="0"/>
            </w:tcBorders>
            <w:vAlign w:val="center"/>
          </w:tcPr>
          <w:p w14:paraId="09472EF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812" w:type="pct"/>
            <w:tcBorders>
              <w:left w:val="single" w:color="auto" w:sz="4" w:space="0"/>
              <w:right w:val="single" w:color="auto" w:sz="4" w:space="0"/>
            </w:tcBorders>
            <w:vAlign w:val="center"/>
          </w:tcPr>
          <w:p w14:paraId="55D7FE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c>
          <w:tcPr>
            <w:tcW w:w="546" w:type="pct"/>
            <w:tcBorders>
              <w:left w:val="single" w:color="auto" w:sz="4" w:space="0"/>
            </w:tcBorders>
            <w:vAlign w:val="center"/>
          </w:tcPr>
          <w:p w14:paraId="33F2895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2.0</w:t>
            </w:r>
          </w:p>
        </w:tc>
      </w:tr>
      <w:tr w14:paraId="04B5598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jc w:val="center"/>
        </w:trPr>
        <w:tc>
          <w:tcPr>
            <w:tcW w:w="550" w:type="pct"/>
            <w:vMerge w:val="continue"/>
            <w:vAlign w:val="center"/>
          </w:tcPr>
          <w:p w14:paraId="3CA06CE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734" w:type="pct"/>
            <w:vMerge w:val="continue"/>
            <w:vAlign w:val="center"/>
          </w:tcPr>
          <w:p w14:paraId="1A0E58F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p>
        </w:tc>
        <w:tc>
          <w:tcPr>
            <w:tcW w:w="892" w:type="pct"/>
            <w:vAlign w:val="center"/>
          </w:tcPr>
          <w:p w14:paraId="4EC9C5B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苯可溶物</w:t>
            </w:r>
          </w:p>
        </w:tc>
        <w:tc>
          <w:tcPr>
            <w:tcW w:w="730" w:type="pct"/>
            <w:tcBorders>
              <w:right w:val="single" w:color="auto" w:sz="4" w:space="0"/>
            </w:tcBorders>
            <w:vAlign w:val="center"/>
          </w:tcPr>
          <w:p w14:paraId="32AB118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732" w:type="pct"/>
            <w:tcBorders>
              <w:left w:val="single" w:color="auto" w:sz="4" w:space="0"/>
              <w:right w:val="single" w:color="auto" w:sz="4" w:space="0"/>
            </w:tcBorders>
            <w:vAlign w:val="center"/>
          </w:tcPr>
          <w:p w14:paraId="3584F67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812" w:type="pct"/>
            <w:tcBorders>
              <w:left w:val="single" w:color="auto" w:sz="4" w:space="0"/>
              <w:right w:val="single" w:color="auto" w:sz="4" w:space="0"/>
            </w:tcBorders>
            <w:vAlign w:val="center"/>
          </w:tcPr>
          <w:p w14:paraId="0A303AD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c>
          <w:tcPr>
            <w:tcW w:w="546" w:type="pct"/>
            <w:tcBorders>
              <w:left w:val="single" w:color="auto" w:sz="4" w:space="0"/>
            </w:tcBorders>
            <w:vAlign w:val="center"/>
          </w:tcPr>
          <w:p w14:paraId="4BF461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0"/>
              </w:rPr>
            </w:pPr>
            <w:r>
              <w:rPr>
                <w:rFonts w:hint="eastAsia" w:ascii="Times New Roman" w:hAnsi="Times New Roman" w:cs="Times New Roman"/>
                <w:color w:val="000000"/>
                <w:sz w:val="22"/>
                <w:szCs w:val="20"/>
              </w:rPr>
              <w:t>0.6</w:t>
            </w:r>
          </w:p>
        </w:tc>
      </w:tr>
    </w:tbl>
    <w:p w14:paraId="65005284">
      <w:pPr>
        <w:pStyle w:val="35"/>
        <w:jc w:val="both"/>
        <w:rPr>
          <w:rFonts w:cs="Times New Roman"/>
        </w:rPr>
      </w:pPr>
      <w:r>
        <w:rPr>
          <w:rFonts w:cs="Times New Roman"/>
        </w:rPr>
        <w:t>河北省、山东省、河南省、山西省、天津市地方排放标准对于钢铁工序无组织排放限值与现行国标限值要求基本接近。因此，</w:t>
      </w:r>
      <w:r>
        <w:rPr>
          <w:rFonts w:hint="eastAsia" w:cs="Times New Roman"/>
        </w:rPr>
        <w:t>本标准</w:t>
      </w:r>
      <w:r>
        <w:rPr>
          <w:rFonts w:cs="Times New Roman"/>
        </w:rPr>
        <w:t>对于</w:t>
      </w:r>
      <w:r>
        <w:rPr>
          <w:rFonts w:hint="eastAsia" w:cs="Times New Roman"/>
        </w:rPr>
        <w:t>钢铁工序无组织排放限值</w:t>
      </w:r>
      <w:r>
        <w:rPr>
          <w:rFonts w:cs="Times New Roman"/>
        </w:rPr>
        <w:t>与现行国标、地方标准限值基本保持一致。</w:t>
      </w:r>
    </w:p>
    <w:p w14:paraId="2F768036">
      <w:pPr>
        <w:pStyle w:val="35"/>
        <w:jc w:val="both"/>
        <w:rPr>
          <w:rFonts w:cs="Times New Roman"/>
        </w:rPr>
      </w:pPr>
      <w:r>
        <w:rPr>
          <w:rFonts w:cs="Times New Roman"/>
        </w:rPr>
        <w:t>河北省、天津市地方排放标准对于焦化厂界及焦炉炉顶无组织排放限值与现行国标限值要求</w:t>
      </w:r>
      <w:r>
        <w:rPr>
          <w:rFonts w:hint="eastAsia" w:cs="Times New Roman"/>
        </w:rPr>
        <w:t>也</w:t>
      </w:r>
      <w:r>
        <w:rPr>
          <w:rFonts w:cs="Times New Roman"/>
        </w:rPr>
        <w:t>基本接近，因此，</w:t>
      </w:r>
      <w:r>
        <w:rPr>
          <w:rFonts w:hint="eastAsia" w:cs="Times New Roman"/>
        </w:rPr>
        <w:t>本标准</w:t>
      </w:r>
      <w:r>
        <w:rPr>
          <w:rFonts w:cs="Times New Roman"/>
        </w:rPr>
        <w:t>对于</w:t>
      </w:r>
      <w:r>
        <w:rPr>
          <w:rFonts w:hint="eastAsia" w:cs="Times New Roman"/>
        </w:rPr>
        <w:t>焦化工序无组织排放限值</w:t>
      </w:r>
      <w:r>
        <w:rPr>
          <w:rFonts w:cs="Times New Roman"/>
        </w:rPr>
        <w:t>与现行国标、地方标准限值</w:t>
      </w:r>
      <w:r>
        <w:rPr>
          <w:rFonts w:hint="eastAsia" w:cs="Times New Roman"/>
        </w:rPr>
        <w:t>也</w:t>
      </w:r>
      <w:r>
        <w:rPr>
          <w:rFonts w:cs="Times New Roman"/>
        </w:rPr>
        <w:t>基本保持一致。</w:t>
      </w:r>
    </w:p>
    <w:p w14:paraId="4571851C">
      <w:pPr>
        <w:pStyle w:val="35"/>
        <w:jc w:val="both"/>
        <w:rPr>
          <w:rFonts w:cs="Times New Roman"/>
        </w:rPr>
      </w:pPr>
      <w:r>
        <w:rPr>
          <w:rFonts w:hint="eastAsia" w:cs="Times New Roman"/>
        </w:rPr>
        <w:t>此外，本标准纳入了《炼焦化学工业大气污染物排放标准》（</w:t>
      </w:r>
      <w:r>
        <w:rPr>
          <w:rFonts w:cs="Times New Roman"/>
        </w:rPr>
        <w:t>GB 16171.1-2024）</w:t>
      </w:r>
      <w:r>
        <w:rPr>
          <w:rFonts w:hint="eastAsia" w:cs="Times New Roman"/>
        </w:rPr>
        <w:t>中厂区内无组织排放管控的要求。</w:t>
      </w:r>
    </w:p>
    <w:p w14:paraId="1AC828B1">
      <w:pPr>
        <w:pStyle w:val="38"/>
        <w:spacing w:before="163"/>
        <w:jc w:val="both"/>
        <w:rPr>
          <w:rFonts w:eastAsia="宋体"/>
        </w:rPr>
      </w:pPr>
      <w:bookmarkStart w:id="150" w:name="_Toc217058322"/>
      <w:r>
        <w:rPr>
          <w:rFonts w:eastAsia="宋体"/>
        </w:rPr>
        <w:t>7 标准实行的环境效益分析</w:t>
      </w:r>
      <w:bookmarkEnd w:id="150"/>
    </w:p>
    <w:p w14:paraId="73C3098D">
      <w:pPr>
        <w:pStyle w:val="13"/>
        <w:spacing w:line="360" w:lineRule="auto"/>
        <w:ind w:firstLine="480"/>
        <w:jc w:val="both"/>
        <w:rPr>
          <w:rFonts w:ascii="Times New Roman" w:hAnsi="Times New Roman"/>
        </w:rPr>
      </w:pPr>
      <w:r>
        <w:rPr>
          <w:rFonts w:ascii="Times New Roman" w:hAnsi="Times New Roman"/>
        </w:rPr>
        <w:t>本标准实施后，有利于钢铁企业稳定达到超低排放有组织限值要求，颗粒物、二氧化硫、氮氧化物达标率将全面提升</w:t>
      </w:r>
      <w:r>
        <w:rPr>
          <w:rFonts w:hint="eastAsia" w:ascii="Times New Roman" w:hAnsi="Times New Roman"/>
        </w:rPr>
        <w:t>，并且实现有效减排，以烧结机为例，颗粒物、二氧化硫、氮氧化物将分别较现行国家标准减排7</w:t>
      </w:r>
      <w:r>
        <w:rPr>
          <w:rFonts w:ascii="Times New Roman" w:hAnsi="Times New Roman"/>
        </w:rPr>
        <w:t>5%</w:t>
      </w:r>
      <w:r>
        <w:rPr>
          <w:rFonts w:hint="eastAsia" w:ascii="Times New Roman" w:hAnsi="Times New Roman"/>
        </w:rPr>
        <w:t>、8</w:t>
      </w:r>
      <w:r>
        <w:rPr>
          <w:rFonts w:ascii="Times New Roman" w:hAnsi="Times New Roman"/>
        </w:rPr>
        <w:t>0%</w:t>
      </w:r>
      <w:r>
        <w:rPr>
          <w:rFonts w:hint="eastAsia" w:ascii="Times New Roman" w:hAnsi="Times New Roman"/>
        </w:rPr>
        <w:t>、8</w:t>
      </w:r>
      <w:r>
        <w:rPr>
          <w:rFonts w:ascii="Times New Roman" w:hAnsi="Times New Roman"/>
        </w:rPr>
        <w:t>3%</w:t>
      </w:r>
      <w:r>
        <w:rPr>
          <w:rFonts w:hint="eastAsia" w:ascii="Times New Roman" w:hAnsi="Times New Roman"/>
        </w:rPr>
        <w:t>，全工序主要大气污染物外排浓度较现行国家标准收严33</w:t>
      </w:r>
      <w:r>
        <w:rPr>
          <w:rFonts w:ascii="Times New Roman" w:hAnsi="Times New Roman"/>
        </w:rPr>
        <w:t>%~83%</w:t>
      </w:r>
      <w:r>
        <w:rPr>
          <w:rFonts w:hint="eastAsia" w:ascii="Times New Roman" w:hAnsi="Times New Roman"/>
        </w:rPr>
        <w:t>，预计年减排二氧化硫约</w:t>
      </w:r>
      <w:r>
        <w:rPr>
          <w:rFonts w:hint="eastAsia" w:ascii="Times New Roman" w:hAnsi="Times New Roman"/>
          <w:lang w:val="en-US" w:eastAsia="zh-CN"/>
        </w:rPr>
        <w:t>151.5</w:t>
      </w:r>
      <w:r>
        <w:rPr>
          <w:rFonts w:hint="eastAsia" w:ascii="Times New Roman" w:hAnsi="Times New Roman"/>
        </w:rPr>
        <w:t>吨、氮氧化物约</w:t>
      </w:r>
      <w:r>
        <w:rPr>
          <w:rFonts w:hint="eastAsia" w:ascii="Times New Roman" w:hAnsi="Times New Roman"/>
          <w:lang w:val="en-US" w:eastAsia="zh-CN"/>
        </w:rPr>
        <w:t>774.26</w:t>
      </w:r>
      <w:r>
        <w:rPr>
          <w:rFonts w:hint="eastAsia" w:ascii="Times New Roman" w:hAnsi="Times New Roman"/>
        </w:rPr>
        <w:t>吨</w:t>
      </w:r>
      <w:r>
        <w:rPr>
          <w:rFonts w:ascii="Times New Roman" w:hAnsi="Times New Roman"/>
        </w:rPr>
        <w:t>；与此同时，开展无组织排放管控要求</w:t>
      </w:r>
      <w:r>
        <w:rPr>
          <w:rFonts w:hint="eastAsia" w:ascii="Times New Roman" w:hAnsi="Times New Roman"/>
        </w:rPr>
        <w:t>的</w:t>
      </w:r>
      <w:r>
        <w:rPr>
          <w:rFonts w:ascii="Times New Roman" w:hAnsi="Times New Roman"/>
        </w:rPr>
        <w:t>约束，实现环保排放与管理水平的大幅提升，具有明显的环境效益。标准的实施将为进一步改善环境空气质量，实现我市大气污染防治目标提供保障。从污染物排放限值来看，本标准将超低排放政策要求转化为地方强制性排放标准，进一步明晰了钢铁工业排污单位的污染物排放限值。因此，从提高对钢铁企业污染防治技术要求、进一步降低主要污染物排放总量与进一步提升企业环保绩效管理水平方面，本标准具有良好的环境正效益。</w:t>
      </w:r>
    </w:p>
    <w:p w14:paraId="2C320794">
      <w:pPr>
        <w:spacing w:before="163" w:beforeLines="50" w:line="235" w:lineRule="auto"/>
        <w:jc w:val="center"/>
        <w:rPr>
          <w:rFonts w:ascii="Times New Roman" w:hAnsi="Times New Roman" w:cs="Times New Roman"/>
          <w:b/>
          <w:bCs/>
          <w:color w:val="000000"/>
          <w:szCs w:val="32"/>
        </w:rPr>
      </w:pPr>
      <w:r>
        <w:rPr>
          <w:rFonts w:hint="eastAsia" w:ascii="Times New Roman" w:hAnsi="Times New Roman" w:cs="Times New Roman"/>
          <w:b/>
          <w:bCs/>
          <w:color w:val="000000"/>
          <w:szCs w:val="32"/>
        </w:rPr>
        <w:t>表</w:t>
      </w:r>
      <w:r>
        <w:rPr>
          <w:rFonts w:ascii="Times New Roman" w:hAnsi="Times New Roman" w:cs="Times New Roman"/>
          <w:b/>
          <w:bCs/>
          <w:color w:val="000000"/>
          <w:szCs w:val="32"/>
        </w:rPr>
        <w:t xml:space="preserve">7-1  </w:t>
      </w:r>
      <w:r>
        <w:rPr>
          <w:rFonts w:hint="eastAsia" w:ascii="Times New Roman" w:hAnsi="Times New Roman" w:cs="Times New Roman"/>
          <w:b/>
          <w:bCs/>
          <w:color w:val="000000"/>
          <w:szCs w:val="32"/>
        </w:rPr>
        <w:t>宝钢基地主要</w:t>
      </w:r>
      <w:r>
        <w:rPr>
          <w:rFonts w:ascii="Times New Roman" w:hAnsi="Times New Roman" w:cs="Times New Roman"/>
          <w:b/>
          <w:bCs/>
          <w:color w:val="000000"/>
          <w:szCs w:val="32"/>
        </w:rPr>
        <w:t>生产工序</w:t>
      </w:r>
      <w:r>
        <w:rPr>
          <w:rFonts w:hint="eastAsia" w:ascii="Times New Roman" w:hAnsi="Times New Roman" w:cs="Times New Roman"/>
          <w:b/>
          <w:bCs/>
          <w:color w:val="000000"/>
          <w:szCs w:val="32"/>
        </w:rPr>
        <w:t>拟采取的减排措施及氮氧化物减排量</w:t>
      </w:r>
    </w:p>
    <w:tbl>
      <w:tblPr>
        <w:tblStyle w:val="27"/>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1087"/>
        <w:gridCol w:w="1219"/>
        <w:gridCol w:w="1912"/>
        <w:gridCol w:w="1498"/>
        <w:gridCol w:w="1403"/>
        <w:gridCol w:w="1403"/>
      </w:tblGrid>
      <w:tr w14:paraId="7C380ED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644" w:hRule="atLeast"/>
          <w:jc w:val="center"/>
        </w:trPr>
        <w:tc>
          <w:tcPr>
            <w:tcW w:w="637" w:type="pct"/>
            <w:vAlign w:val="center"/>
          </w:tcPr>
          <w:p w14:paraId="6D78863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污染物</w:t>
            </w:r>
          </w:p>
          <w:p w14:paraId="5445B79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项目</w:t>
            </w:r>
          </w:p>
        </w:tc>
        <w:tc>
          <w:tcPr>
            <w:tcW w:w="715" w:type="pct"/>
            <w:vAlign w:val="center"/>
          </w:tcPr>
          <w:p w14:paraId="27BA18A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生产工序</w:t>
            </w:r>
          </w:p>
        </w:tc>
        <w:tc>
          <w:tcPr>
            <w:tcW w:w="1121" w:type="pct"/>
            <w:vAlign w:val="center"/>
          </w:tcPr>
          <w:p w14:paraId="2F32E8C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减排措施</w:t>
            </w:r>
          </w:p>
        </w:tc>
        <w:tc>
          <w:tcPr>
            <w:tcW w:w="878" w:type="pct"/>
            <w:vAlign w:val="center"/>
          </w:tcPr>
          <w:p w14:paraId="1B06488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202</w:t>
            </w:r>
            <w:r>
              <w:rPr>
                <w:rFonts w:hint="eastAsia" w:ascii="Times New Roman" w:hAnsi="Times New Roman" w:cs="Times New Roman"/>
                <w:color w:val="000000"/>
                <w:sz w:val="22"/>
                <w:szCs w:val="22"/>
                <w:lang w:val="en-US" w:eastAsia="zh-CN"/>
              </w:rPr>
              <w:t>5</w:t>
            </w:r>
            <w:r>
              <w:rPr>
                <w:rFonts w:hint="eastAsia" w:ascii="Times New Roman" w:hAnsi="Times New Roman" w:cs="Times New Roman"/>
                <w:color w:val="000000"/>
                <w:sz w:val="22"/>
                <w:szCs w:val="22"/>
              </w:rPr>
              <w:t>年</w:t>
            </w:r>
          </w:p>
          <w:p w14:paraId="0677E04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排放量（t/a）</w:t>
            </w:r>
          </w:p>
        </w:tc>
        <w:tc>
          <w:tcPr>
            <w:tcW w:w="823" w:type="pct"/>
            <w:vAlign w:val="center"/>
          </w:tcPr>
          <w:p w14:paraId="5822486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减排量（t/a）</w:t>
            </w:r>
          </w:p>
        </w:tc>
        <w:tc>
          <w:tcPr>
            <w:tcW w:w="823" w:type="pct"/>
            <w:vAlign w:val="center"/>
          </w:tcPr>
          <w:p w14:paraId="2E4D147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合计减排量（t/a）</w:t>
            </w:r>
          </w:p>
        </w:tc>
      </w:tr>
      <w:tr w14:paraId="41F3B0B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restart"/>
            <w:vAlign w:val="center"/>
          </w:tcPr>
          <w:p w14:paraId="2D70658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bookmarkStart w:id="151" w:name="_Hlk216713513"/>
            <w:r>
              <w:rPr>
                <w:rFonts w:hint="eastAsia" w:ascii="Times New Roman" w:hAnsi="Times New Roman" w:cs="Times New Roman"/>
                <w:color w:val="000000"/>
                <w:sz w:val="22"/>
                <w:szCs w:val="22"/>
              </w:rPr>
              <w:t>二氧化硫</w:t>
            </w:r>
          </w:p>
        </w:tc>
        <w:tc>
          <w:tcPr>
            <w:tcW w:w="715" w:type="pct"/>
            <w:vAlign w:val="center"/>
          </w:tcPr>
          <w:p w14:paraId="3A80455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焦化</w:t>
            </w:r>
          </w:p>
        </w:tc>
        <w:tc>
          <w:tcPr>
            <w:tcW w:w="1121" w:type="pct"/>
            <w:vAlign w:val="center"/>
          </w:tcPr>
          <w:p w14:paraId="02A2CA3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推焦、干熄焦增设脱硫，三/四期烟气脱硫设施提效</w:t>
            </w:r>
          </w:p>
        </w:tc>
        <w:tc>
          <w:tcPr>
            <w:tcW w:w="878" w:type="pct"/>
            <w:vAlign w:val="center"/>
          </w:tcPr>
          <w:p w14:paraId="1A81FACA">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423.84</w:t>
            </w:r>
          </w:p>
        </w:tc>
        <w:tc>
          <w:tcPr>
            <w:tcW w:w="823" w:type="pct"/>
            <w:vAlign w:val="center"/>
          </w:tcPr>
          <w:p w14:paraId="21F6841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150</w:t>
            </w:r>
          </w:p>
        </w:tc>
        <w:tc>
          <w:tcPr>
            <w:tcW w:w="823" w:type="pct"/>
            <w:vMerge w:val="restart"/>
            <w:vAlign w:val="center"/>
          </w:tcPr>
          <w:p w14:paraId="3310E03A">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rPr>
              <w:t>15</w:t>
            </w:r>
            <w:r>
              <w:rPr>
                <w:rFonts w:hint="eastAsia" w:ascii="Times New Roman" w:hAnsi="Times New Roman" w:cs="Times New Roman"/>
                <w:color w:val="000000"/>
                <w:sz w:val="22"/>
                <w:szCs w:val="22"/>
                <w:lang w:val="en-US" w:eastAsia="zh-CN"/>
              </w:rPr>
              <w:t>1.5</w:t>
            </w:r>
          </w:p>
        </w:tc>
      </w:tr>
      <w:tr w14:paraId="0BEB783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1DFE18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14F634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烧结</w:t>
            </w:r>
          </w:p>
        </w:tc>
        <w:tc>
          <w:tcPr>
            <w:tcW w:w="1121" w:type="pct"/>
            <w:vAlign w:val="center"/>
          </w:tcPr>
          <w:p w14:paraId="734E51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w:t>
            </w:r>
          </w:p>
        </w:tc>
        <w:tc>
          <w:tcPr>
            <w:tcW w:w="878" w:type="pct"/>
            <w:vAlign w:val="center"/>
          </w:tcPr>
          <w:p w14:paraId="62662EB1">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247.21</w:t>
            </w:r>
          </w:p>
        </w:tc>
        <w:tc>
          <w:tcPr>
            <w:tcW w:w="823" w:type="pct"/>
            <w:vAlign w:val="center"/>
          </w:tcPr>
          <w:p w14:paraId="4ED79E4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Merge w:val="continue"/>
            <w:vAlign w:val="center"/>
          </w:tcPr>
          <w:p w14:paraId="2365B3A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66C8133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1D256AD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613A795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炼铁</w:t>
            </w:r>
          </w:p>
        </w:tc>
        <w:tc>
          <w:tcPr>
            <w:tcW w:w="1121" w:type="pct"/>
            <w:vAlign w:val="center"/>
          </w:tcPr>
          <w:p w14:paraId="06659F2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w:t>
            </w:r>
          </w:p>
        </w:tc>
        <w:tc>
          <w:tcPr>
            <w:tcW w:w="878" w:type="pct"/>
            <w:vAlign w:val="center"/>
          </w:tcPr>
          <w:p w14:paraId="2E7066B6">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262.4</w:t>
            </w:r>
          </w:p>
        </w:tc>
        <w:tc>
          <w:tcPr>
            <w:tcW w:w="823" w:type="pct"/>
            <w:vAlign w:val="center"/>
          </w:tcPr>
          <w:p w14:paraId="623E13E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Merge w:val="continue"/>
            <w:vAlign w:val="center"/>
          </w:tcPr>
          <w:p w14:paraId="05176D7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67C77A3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6C3671E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2F4A63A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炼钢</w:t>
            </w:r>
          </w:p>
        </w:tc>
        <w:tc>
          <w:tcPr>
            <w:tcW w:w="1121" w:type="pct"/>
            <w:vAlign w:val="center"/>
          </w:tcPr>
          <w:p w14:paraId="60A103F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w:t>
            </w:r>
          </w:p>
        </w:tc>
        <w:tc>
          <w:tcPr>
            <w:tcW w:w="878" w:type="pct"/>
            <w:vAlign w:val="center"/>
          </w:tcPr>
          <w:p w14:paraId="3E978F5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Align w:val="center"/>
          </w:tcPr>
          <w:p w14:paraId="6ABC04D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Merge w:val="continue"/>
            <w:vAlign w:val="center"/>
          </w:tcPr>
          <w:p w14:paraId="3EE36DD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24D48A4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60178B9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4F058E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轧钢</w:t>
            </w:r>
          </w:p>
        </w:tc>
        <w:tc>
          <w:tcPr>
            <w:tcW w:w="1121" w:type="pct"/>
            <w:vAlign w:val="center"/>
          </w:tcPr>
          <w:p w14:paraId="46AB52F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w:t>
            </w:r>
          </w:p>
        </w:tc>
        <w:tc>
          <w:tcPr>
            <w:tcW w:w="878" w:type="pct"/>
            <w:vAlign w:val="center"/>
          </w:tcPr>
          <w:p w14:paraId="365E14E5">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341.26</w:t>
            </w:r>
          </w:p>
        </w:tc>
        <w:tc>
          <w:tcPr>
            <w:tcW w:w="823" w:type="pct"/>
            <w:vAlign w:val="center"/>
          </w:tcPr>
          <w:p w14:paraId="2A709E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Merge w:val="continue"/>
            <w:vAlign w:val="center"/>
          </w:tcPr>
          <w:p w14:paraId="1CCFFA3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5592691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5325C47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4BBE46B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转底炉</w:t>
            </w:r>
          </w:p>
        </w:tc>
        <w:tc>
          <w:tcPr>
            <w:tcW w:w="1121" w:type="pct"/>
            <w:vAlign w:val="center"/>
          </w:tcPr>
          <w:p w14:paraId="2FEC0D1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w:t>
            </w:r>
          </w:p>
        </w:tc>
        <w:tc>
          <w:tcPr>
            <w:tcW w:w="878" w:type="pct"/>
            <w:vAlign w:val="center"/>
          </w:tcPr>
          <w:p w14:paraId="5E738442">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2.37</w:t>
            </w:r>
          </w:p>
        </w:tc>
        <w:tc>
          <w:tcPr>
            <w:tcW w:w="823" w:type="pct"/>
            <w:vAlign w:val="center"/>
          </w:tcPr>
          <w:p w14:paraId="04BC933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Merge w:val="continue"/>
            <w:vAlign w:val="center"/>
          </w:tcPr>
          <w:p w14:paraId="75847A9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424474B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6AE1B74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511BB434">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宝武碳业</w:t>
            </w:r>
          </w:p>
        </w:tc>
        <w:tc>
          <w:tcPr>
            <w:tcW w:w="1121" w:type="pct"/>
            <w:vAlign w:val="center"/>
          </w:tcPr>
          <w:p w14:paraId="30BA60F4">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加热炉燃气调整</w:t>
            </w:r>
          </w:p>
        </w:tc>
        <w:tc>
          <w:tcPr>
            <w:tcW w:w="878" w:type="pct"/>
            <w:vAlign w:val="center"/>
          </w:tcPr>
          <w:p w14:paraId="7F558EC2">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cs="Times New Roman"/>
                <w:color w:val="000000"/>
                <w:sz w:val="22"/>
                <w:szCs w:val="22"/>
                <w:lang w:val="en-US" w:eastAsia="zh-CN"/>
              </w:rPr>
            </w:pPr>
            <w:r>
              <w:rPr>
                <w:rFonts w:hint="eastAsia" w:ascii="Times New Roman" w:hAnsi="Times New Roman" w:cs="Times New Roman"/>
                <w:color w:val="000000"/>
                <w:sz w:val="22"/>
                <w:szCs w:val="22"/>
                <w:lang w:val="en-US" w:eastAsia="zh-CN"/>
              </w:rPr>
              <w:t>9</w:t>
            </w:r>
          </w:p>
        </w:tc>
        <w:tc>
          <w:tcPr>
            <w:tcW w:w="823" w:type="pct"/>
            <w:vAlign w:val="center"/>
          </w:tcPr>
          <w:p w14:paraId="12D04B16">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1.5</w:t>
            </w:r>
          </w:p>
        </w:tc>
        <w:tc>
          <w:tcPr>
            <w:tcW w:w="823" w:type="pct"/>
            <w:vMerge w:val="continue"/>
            <w:vAlign w:val="center"/>
          </w:tcPr>
          <w:p w14:paraId="2CC95D1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bookmarkEnd w:id="151"/>
      <w:tr w14:paraId="3BCD2AF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restart"/>
            <w:vAlign w:val="center"/>
          </w:tcPr>
          <w:p w14:paraId="6C507AE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氮氧化物</w:t>
            </w:r>
          </w:p>
        </w:tc>
        <w:tc>
          <w:tcPr>
            <w:tcW w:w="715" w:type="pct"/>
            <w:vMerge w:val="restart"/>
            <w:vAlign w:val="center"/>
          </w:tcPr>
          <w:p w14:paraId="32D94C7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焦化</w:t>
            </w:r>
          </w:p>
        </w:tc>
        <w:tc>
          <w:tcPr>
            <w:tcW w:w="1121" w:type="pct"/>
            <w:shd w:val="clear" w:color="auto" w:fill="auto"/>
            <w:vAlign w:val="center"/>
          </w:tcPr>
          <w:p w14:paraId="408D338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eastAsia="宋体" w:cs="Times New Roman"/>
                <w:color w:val="000000"/>
                <w:sz w:val="22"/>
                <w:szCs w:val="22"/>
                <w:lang w:val="en-US" w:eastAsia="zh-CN" w:bidi="ar-SA"/>
              </w:rPr>
            </w:pPr>
            <w:r>
              <w:rPr>
                <w:rFonts w:hint="eastAsia" w:ascii="Times New Roman" w:hAnsi="Times New Roman" w:cs="Times New Roman"/>
                <w:color w:val="000000"/>
                <w:sz w:val="22"/>
                <w:szCs w:val="22"/>
              </w:rPr>
              <w:t>脱硝设施提效</w:t>
            </w:r>
          </w:p>
        </w:tc>
        <w:tc>
          <w:tcPr>
            <w:tcW w:w="878" w:type="pct"/>
            <w:vMerge w:val="restart"/>
            <w:vAlign w:val="center"/>
          </w:tcPr>
          <w:p w14:paraId="7B51D0A2">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1146.17</w:t>
            </w:r>
          </w:p>
        </w:tc>
        <w:tc>
          <w:tcPr>
            <w:tcW w:w="823" w:type="pct"/>
            <w:vAlign w:val="center"/>
          </w:tcPr>
          <w:p w14:paraId="0EC23D30">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100</w:t>
            </w:r>
          </w:p>
        </w:tc>
        <w:tc>
          <w:tcPr>
            <w:tcW w:w="823" w:type="pct"/>
            <w:vMerge w:val="restart"/>
            <w:vAlign w:val="center"/>
          </w:tcPr>
          <w:p w14:paraId="766822C8">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774.26</w:t>
            </w:r>
          </w:p>
        </w:tc>
      </w:tr>
      <w:tr w14:paraId="66E74C2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11F0CCE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Merge w:val="continue"/>
            <w:vAlign w:val="center"/>
          </w:tcPr>
          <w:p w14:paraId="5AD62BC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1121" w:type="pct"/>
            <w:shd w:val="clear" w:color="auto" w:fill="auto"/>
            <w:vAlign w:val="center"/>
          </w:tcPr>
          <w:p w14:paraId="619A40FC">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提升达标率</w:t>
            </w:r>
          </w:p>
        </w:tc>
        <w:tc>
          <w:tcPr>
            <w:tcW w:w="878" w:type="pct"/>
            <w:vMerge w:val="continue"/>
            <w:vAlign w:val="center"/>
          </w:tcPr>
          <w:p w14:paraId="28AB9BA5">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823" w:type="pct"/>
            <w:vAlign w:val="center"/>
          </w:tcPr>
          <w:p w14:paraId="75665F11">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31.28</w:t>
            </w:r>
          </w:p>
        </w:tc>
        <w:tc>
          <w:tcPr>
            <w:tcW w:w="823" w:type="pct"/>
            <w:vMerge w:val="continue"/>
            <w:vAlign w:val="center"/>
          </w:tcPr>
          <w:p w14:paraId="1ACD748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1F6C4EC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6935430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Merge w:val="restart"/>
            <w:vAlign w:val="center"/>
          </w:tcPr>
          <w:p w14:paraId="63BD2D1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烧结</w:t>
            </w:r>
          </w:p>
        </w:tc>
        <w:tc>
          <w:tcPr>
            <w:tcW w:w="1121" w:type="pct"/>
            <w:vAlign w:val="center"/>
          </w:tcPr>
          <w:p w14:paraId="1875F17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脱硝设施提效</w:t>
            </w:r>
          </w:p>
        </w:tc>
        <w:tc>
          <w:tcPr>
            <w:tcW w:w="878" w:type="pct"/>
            <w:vMerge w:val="restart"/>
            <w:vAlign w:val="center"/>
          </w:tcPr>
          <w:p w14:paraId="47A6663A">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2320.21</w:t>
            </w:r>
          </w:p>
        </w:tc>
        <w:tc>
          <w:tcPr>
            <w:tcW w:w="823" w:type="pct"/>
            <w:vAlign w:val="center"/>
          </w:tcPr>
          <w:p w14:paraId="3C555FC2">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5</w:t>
            </w:r>
            <w:r>
              <w:rPr>
                <w:rFonts w:hint="eastAsia" w:ascii="Times New Roman" w:hAnsi="Times New Roman" w:cs="Times New Roman"/>
                <w:color w:val="000000"/>
                <w:sz w:val="22"/>
                <w:szCs w:val="22"/>
              </w:rPr>
              <w:t>50</w:t>
            </w:r>
          </w:p>
        </w:tc>
        <w:tc>
          <w:tcPr>
            <w:tcW w:w="823" w:type="pct"/>
            <w:vMerge w:val="continue"/>
            <w:vAlign w:val="center"/>
          </w:tcPr>
          <w:p w14:paraId="06FC3EE9">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5FBA011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78F2696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Merge w:val="continue"/>
            <w:vAlign w:val="center"/>
          </w:tcPr>
          <w:p w14:paraId="15480C1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1121" w:type="pct"/>
            <w:shd w:val="clear" w:color="auto" w:fill="auto"/>
            <w:vAlign w:val="center"/>
          </w:tcPr>
          <w:p w14:paraId="65E5E91E">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bidi="ar-SA"/>
              </w:rPr>
            </w:pPr>
            <w:r>
              <w:rPr>
                <w:rFonts w:hint="eastAsia" w:ascii="Times New Roman" w:hAnsi="Times New Roman" w:cs="Times New Roman"/>
                <w:color w:val="000000"/>
                <w:sz w:val="22"/>
                <w:szCs w:val="22"/>
                <w:lang w:val="en-US" w:eastAsia="zh-CN"/>
              </w:rPr>
              <w:t>提升达标率</w:t>
            </w:r>
          </w:p>
        </w:tc>
        <w:tc>
          <w:tcPr>
            <w:tcW w:w="878" w:type="pct"/>
            <w:vMerge w:val="continue"/>
            <w:vAlign w:val="center"/>
          </w:tcPr>
          <w:p w14:paraId="57CD9C8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823" w:type="pct"/>
            <w:vAlign w:val="center"/>
          </w:tcPr>
          <w:p w14:paraId="05EB87E3">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32.26</w:t>
            </w:r>
          </w:p>
        </w:tc>
        <w:tc>
          <w:tcPr>
            <w:tcW w:w="823" w:type="pct"/>
            <w:vMerge w:val="continue"/>
            <w:vAlign w:val="center"/>
          </w:tcPr>
          <w:p w14:paraId="63553F9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67443F4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4B3C916A">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0523B93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炼铁</w:t>
            </w:r>
          </w:p>
        </w:tc>
        <w:tc>
          <w:tcPr>
            <w:tcW w:w="1121" w:type="pct"/>
            <w:shd w:val="clear" w:color="auto" w:fill="auto"/>
            <w:vAlign w:val="center"/>
          </w:tcPr>
          <w:p w14:paraId="6642DCF7">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bidi="ar-SA"/>
              </w:rPr>
            </w:pPr>
            <w:r>
              <w:rPr>
                <w:rFonts w:hint="eastAsia" w:ascii="Times New Roman" w:hAnsi="Times New Roman" w:cs="Times New Roman"/>
                <w:color w:val="000000"/>
                <w:sz w:val="22"/>
                <w:szCs w:val="22"/>
                <w:lang w:val="en-US" w:eastAsia="zh-CN"/>
              </w:rPr>
              <w:t>提升达标率</w:t>
            </w:r>
          </w:p>
        </w:tc>
        <w:tc>
          <w:tcPr>
            <w:tcW w:w="878" w:type="pct"/>
            <w:vAlign w:val="center"/>
          </w:tcPr>
          <w:p w14:paraId="0D997ED4">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590.53</w:t>
            </w:r>
          </w:p>
        </w:tc>
        <w:tc>
          <w:tcPr>
            <w:tcW w:w="823" w:type="pct"/>
            <w:vAlign w:val="center"/>
          </w:tcPr>
          <w:p w14:paraId="1C800BE3">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23.92</w:t>
            </w:r>
          </w:p>
        </w:tc>
        <w:tc>
          <w:tcPr>
            <w:tcW w:w="823" w:type="pct"/>
            <w:vMerge w:val="continue"/>
            <w:vAlign w:val="center"/>
          </w:tcPr>
          <w:p w14:paraId="47D4BF4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132892E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560A624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5E854736">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炼钢</w:t>
            </w:r>
          </w:p>
        </w:tc>
        <w:tc>
          <w:tcPr>
            <w:tcW w:w="1121" w:type="pct"/>
            <w:vAlign w:val="center"/>
          </w:tcPr>
          <w:p w14:paraId="5F674920">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w:t>
            </w:r>
          </w:p>
        </w:tc>
        <w:tc>
          <w:tcPr>
            <w:tcW w:w="878" w:type="pct"/>
            <w:vAlign w:val="center"/>
          </w:tcPr>
          <w:p w14:paraId="30242FC7">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Align w:val="center"/>
          </w:tcPr>
          <w:p w14:paraId="03E7EE9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Merge w:val="continue"/>
            <w:vAlign w:val="center"/>
          </w:tcPr>
          <w:p w14:paraId="19BA6B28">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4CE116A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46FBA434">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3C8D82F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轧钢</w:t>
            </w:r>
          </w:p>
        </w:tc>
        <w:tc>
          <w:tcPr>
            <w:tcW w:w="1121" w:type="pct"/>
            <w:shd w:val="clear" w:color="auto" w:fill="auto"/>
            <w:vAlign w:val="center"/>
          </w:tcPr>
          <w:p w14:paraId="4E0B2EFE">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bidi="ar-SA"/>
              </w:rPr>
            </w:pPr>
            <w:r>
              <w:rPr>
                <w:rFonts w:hint="eastAsia" w:ascii="Times New Roman" w:hAnsi="Times New Roman" w:cs="Times New Roman"/>
                <w:color w:val="000000"/>
                <w:sz w:val="22"/>
                <w:szCs w:val="22"/>
                <w:lang w:val="en-US" w:eastAsia="zh-CN"/>
              </w:rPr>
              <w:t>提升达标率</w:t>
            </w:r>
          </w:p>
        </w:tc>
        <w:tc>
          <w:tcPr>
            <w:tcW w:w="878" w:type="pct"/>
            <w:vAlign w:val="center"/>
          </w:tcPr>
          <w:p w14:paraId="72F54EA7">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1075.66</w:t>
            </w:r>
          </w:p>
        </w:tc>
        <w:tc>
          <w:tcPr>
            <w:tcW w:w="823" w:type="pct"/>
            <w:vAlign w:val="center"/>
          </w:tcPr>
          <w:p w14:paraId="532B0986">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28.8</w:t>
            </w:r>
          </w:p>
        </w:tc>
        <w:tc>
          <w:tcPr>
            <w:tcW w:w="823" w:type="pct"/>
            <w:vMerge w:val="continue"/>
            <w:vAlign w:val="center"/>
          </w:tcPr>
          <w:p w14:paraId="309562C3">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1421358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2954FAF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vAlign w:val="center"/>
          </w:tcPr>
          <w:p w14:paraId="48C32D8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转底炉</w:t>
            </w:r>
          </w:p>
        </w:tc>
        <w:tc>
          <w:tcPr>
            <w:tcW w:w="1121" w:type="pct"/>
            <w:vAlign w:val="center"/>
          </w:tcPr>
          <w:p w14:paraId="090E3A1D">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w:t>
            </w:r>
          </w:p>
        </w:tc>
        <w:tc>
          <w:tcPr>
            <w:tcW w:w="878" w:type="pct"/>
            <w:vAlign w:val="center"/>
          </w:tcPr>
          <w:p w14:paraId="78B005FE">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71.03</w:t>
            </w:r>
          </w:p>
        </w:tc>
        <w:tc>
          <w:tcPr>
            <w:tcW w:w="823" w:type="pct"/>
            <w:vAlign w:val="center"/>
          </w:tcPr>
          <w:p w14:paraId="50729941">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r>
              <w:rPr>
                <w:rFonts w:hint="eastAsia" w:ascii="Times New Roman" w:hAnsi="Times New Roman" w:cs="Times New Roman"/>
                <w:color w:val="000000"/>
                <w:sz w:val="22"/>
                <w:szCs w:val="22"/>
              </w:rPr>
              <w:t>0</w:t>
            </w:r>
          </w:p>
        </w:tc>
        <w:tc>
          <w:tcPr>
            <w:tcW w:w="823" w:type="pct"/>
            <w:vMerge w:val="continue"/>
            <w:vAlign w:val="center"/>
          </w:tcPr>
          <w:p w14:paraId="0574932C">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r w14:paraId="66C51BB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37" w:type="pct"/>
            <w:vMerge w:val="continue"/>
            <w:vAlign w:val="center"/>
          </w:tcPr>
          <w:p w14:paraId="17AC789E">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c>
          <w:tcPr>
            <w:tcW w:w="715" w:type="pct"/>
            <w:shd w:val="clear" w:color="auto" w:fill="auto"/>
            <w:vAlign w:val="center"/>
          </w:tcPr>
          <w:p w14:paraId="3F79E10A">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bidi="ar-SA"/>
              </w:rPr>
            </w:pPr>
            <w:r>
              <w:rPr>
                <w:rFonts w:hint="eastAsia" w:ascii="Times New Roman" w:hAnsi="Times New Roman" w:cs="Times New Roman"/>
                <w:color w:val="000000"/>
                <w:sz w:val="22"/>
                <w:szCs w:val="22"/>
                <w:lang w:val="en-US" w:eastAsia="zh-CN"/>
              </w:rPr>
              <w:t>宝武碳业</w:t>
            </w:r>
          </w:p>
        </w:tc>
        <w:tc>
          <w:tcPr>
            <w:tcW w:w="1121" w:type="pct"/>
            <w:vAlign w:val="center"/>
          </w:tcPr>
          <w:p w14:paraId="40E5C3A6">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加热炉低氮燃烧改造</w:t>
            </w:r>
          </w:p>
        </w:tc>
        <w:tc>
          <w:tcPr>
            <w:tcW w:w="878" w:type="pct"/>
            <w:vAlign w:val="center"/>
          </w:tcPr>
          <w:p w14:paraId="04A4EA51">
            <w:pPr>
              <w:keepNext w:val="0"/>
              <w:keepLines w:val="0"/>
              <w:widowControl/>
              <w:suppressLineNumbers w:val="0"/>
              <w:spacing w:before="0" w:beforeAutospacing="0" w:after="0" w:afterAutospacing="0"/>
              <w:ind w:left="-60" w:leftChars="-25" w:right="-60" w:rightChars="-25"/>
              <w:jc w:val="center"/>
              <w:rPr>
                <w:rFonts w:hint="default"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33</w:t>
            </w:r>
          </w:p>
        </w:tc>
        <w:tc>
          <w:tcPr>
            <w:tcW w:w="823" w:type="pct"/>
            <w:vAlign w:val="center"/>
          </w:tcPr>
          <w:p w14:paraId="6C32DF7F">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eastAsia="宋体" w:cs="Times New Roman"/>
                <w:color w:val="000000"/>
                <w:sz w:val="22"/>
                <w:szCs w:val="22"/>
                <w:lang w:val="en-US" w:eastAsia="zh-CN"/>
              </w:rPr>
            </w:pPr>
            <w:r>
              <w:rPr>
                <w:rFonts w:hint="eastAsia" w:ascii="Times New Roman" w:hAnsi="Times New Roman" w:cs="Times New Roman"/>
                <w:color w:val="000000"/>
                <w:sz w:val="22"/>
                <w:szCs w:val="22"/>
                <w:lang w:val="en-US" w:eastAsia="zh-CN"/>
              </w:rPr>
              <w:t>8</w:t>
            </w:r>
          </w:p>
        </w:tc>
        <w:tc>
          <w:tcPr>
            <w:tcW w:w="823" w:type="pct"/>
            <w:vMerge w:val="continue"/>
            <w:vAlign w:val="center"/>
          </w:tcPr>
          <w:p w14:paraId="44E4C15B">
            <w:pPr>
              <w:keepNext w:val="0"/>
              <w:keepLines w:val="0"/>
              <w:widowControl/>
              <w:suppressLineNumbers w:val="0"/>
              <w:spacing w:before="0" w:beforeAutospacing="0" w:after="0" w:afterAutospacing="0"/>
              <w:ind w:left="-60" w:leftChars="-25" w:right="-60" w:rightChars="-25"/>
              <w:jc w:val="center"/>
              <w:rPr>
                <w:rFonts w:hint="eastAsia" w:ascii="Times New Roman" w:hAnsi="Times New Roman" w:cs="Times New Roman"/>
                <w:color w:val="000000"/>
                <w:sz w:val="22"/>
                <w:szCs w:val="22"/>
              </w:rPr>
            </w:pPr>
          </w:p>
        </w:tc>
      </w:tr>
    </w:tbl>
    <w:p w14:paraId="53B2EC2D">
      <w:pPr>
        <w:pStyle w:val="13"/>
        <w:spacing w:line="360" w:lineRule="auto"/>
        <w:jc w:val="both"/>
        <w:rPr>
          <w:rFonts w:ascii="Times New Roman" w:hAnsi="Times New Roman"/>
        </w:rPr>
      </w:pPr>
    </w:p>
    <w:p w14:paraId="495262B8">
      <w:pPr>
        <w:pStyle w:val="38"/>
        <w:spacing w:before="163"/>
        <w:rPr>
          <w:rFonts w:eastAsia="宋体"/>
        </w:rPr>
      </w:pPr>
      <w:bookmarkStart w:id="152" w:name="_Toc217058323"/>
      <w:r>
        <w:rPr>
          <w:rFonts w:eastAsia="宋体"/>
        </w:rPr>
        <w:t>8.标准技术经济分析</w:t>
      </w:r>
      <w:bookmarkEnd w:id="152"/>
    </w:p>
    <w:p w14:paraId="6A2CAECD">
      <w:pPr>
        <w:pStyle w:val="37"/>
        <w:spacing w:before="163"/>
        <w:ind w:left="0"/>
      </w:pPr>
      <w:bookmarkStart w:id="153" w:name="_Toc217058324"/>
      <w:r>
        <w:t>8.1 技术可行性</w:t>
      </w:r>
      <w:bookmarkEnd w:id="153"/>
    </w:p>
    <w:p w14:paraId="393E48B4">
      <w:pPr>
        <w:pStyle w:val="13"/>
        <w:spacing w:line="360" w:lineRule="auto"/>
        <w:ind w:firstLine="480"/>
        <w:jc w:val="both"/>
        <w:rPr>
          <w:rFonts w:ascii="Times New Roman" w:hAnsi="Times New Roman"/>
        </w:rPr>
      </w:pPr>
      <w:r>
        <w:rPr>
          <w:rFonts w:ascii="Times New Roman" w:hAnsi="Times New Roman"/>
        </w:rPr>
        <w:t>结合《钢铁企业超低排放改造技术指南》和《重污染天气重点行业应急减排措施制定技术指南（2020年修订版）》（环办大气函〔2020〕340号），钢铁工业有效可行的污染防治技术如下：</w:t>
      </w:r>
    </w:p>
    <w:p w14:paraId="1880B904">
      <w:pPr>
        <w:spacing w:line="360" w:lineRule="auto"/>
        <w:rPr>
          <w:rFonts w:ascii="Times New Roman" w:hAnsi="Times New Roman" w:cs="Times New Roman"/>
        </w:rPr>
      </w:pPr>
      <w:bookmarkStart w:id="154" w:name="_Toc185779021"/>
      <w:bookmarkStart w:id="155" w:name="_Toc185784361"/>
      <w:bookmarkStart w:id="156" w:name="_Toc185781651"/>
      <w:bookmarkStart w:id="157" w:name="_Toc185779085"/>
      <w:r>
        <w:rPr>
          <w:rFonts w:ascii="Times New Roman" w:hAnsi="Times New Roman" w:cs="Times New Roman"/>
        </w:rPr>
        <w:t>8.1.1烧结机机头（球团焙烧）烟气、焦炉烟囱废气</w:t>
      </w:r>
      <w:bookmarkEnd w:id="154"/>
      <w:bookmarkEnd w:id="155"/>
      <w:bookmarkEnd w:id="156"/>
      <w:bookmarkEnd w:id="157"/>
    </w:p>
    <w:p w14:paraId="018F6D79">
      <w:pPr>
        <w:pStyle w:val="13"/>
        <w:spacing w:line="360" w:lineRule="auto"/>
        <w:ind w:firstLine="480"/>
        <w:jc w:val="both"/>
        <w:rPr>
          <w:rFonts w:ascii="Times New Roman" w:hAnsi="Times New Roman"/>
        </w:rPr>
      </w:pPr>
      <w:r>
        <w:rPr>
          <w:rFonts w:ascii="Times New Roman" w:hAnsi="Times New Roman"/>
        </w:rPr>
        <w:t>（1）烧结机头（球团焙烧）烟气进入脱硫设施前宜配置不少于四电场的配备高频电源或脉冲电源的电除尘器，电场风速宜小于0.75m/s、比集尘面积不宜低于115m</w:t>
      </w:r>
      <w:r>
        <w:rPr>
          <w:rFonts w:ascii="Times New Roman" w:hAnsi="Times New Roman"/>
          <w:vertAlign w:val="superscript"/>
        </w:rPr>
        <w:t>2</w:t>
      </w:r>
      <w:r>
        <w:rPr>
          <w:rFonts w:ascii="Times New Roman" w:hAnsi="Times New Roman"/>
        </w:rPr>
        <w:t>/m</w:t>
      </w:r>
      <w:r>
        <w:rPr>
          <w:rFonts w:ascii="Times New Roman" w:hAnsi="Times New Roman"/>
          <w:vertAlign w:val="superscript"/>
        </w:rPr>
        <w:t>3</w:t>
      </w:r>
      <w:r>
        <w:rPr>
          <w:rFonts w:ascii="Times New Roman" w:hAnsi="Times New Roman"/>
        </w:rPr>
        <w:t>/s。</w:t>
      </w:r>
    </w:p>
    <w:p w14:paraId="4CFEF4FB">
      <w:pPr>
        <w:pStyle w:val="13"/>
        <w:spacing w:line="360" w:lineRule="auto"/>
        <w:ind w:firstLine="480"/>
        <w:jc w:val="both"/>
        <w:rPr>
          <w:rFonts w:ascii="Times New Roman" w:hAnsi="Times New Roman"/>
        </w:rPr>
      </w:pPr>
      <w:r>
        <w:rPr>
          <w:rFonts w:ascii="Times New Roman" w:hAnsi="Times New Roman"/>
        </w:rPr>
        <w:t>（2）脱硫可采用石灰石/石灰-石膏等湿法脱硫工艺，循环流化床、旋转喷雾、密相干塔等半干法脱硫工艺，活性炭（焦）干法脱硫工艺；焦炉烟囱烟气还可采用小苏打喷射干法脱硫技术。</w:t>
      </w:r>
    </w:p>
    <w:p w14:paraId="35C5A365">
      <w:pPr>
        <w:pStyle w:val="13"/>
        <w:spacing w:line="360" w:lineRule="auto"/>
        <w:ind w:firstLine="480"/>
        <w:jc w:val="both"/>
        <w:rPr>
          <w:rFonts w:ascii="Times New Roman" w:hAnsi="Times New Roman"/>
        </w:rPr>
      </w:pPr>
      <w:r>
        <w:rPr>
          <w:rFonts w:ascii="Times New Roman" w:hAnsi="Times New Roman"/>
        </w:rPr>
        <w:t>（3）脱硝可采用设置独立脱硝段的活性炭（焦）工艺或选择性催化还原（SCR）工艺。</w:t>
      </w:r>
    </w:p>
    <w:p w14:paraId="37430D82">
      <w:pPr>
        <w:pStyle w:val="13"/>
        <w:spacing w:line="360" w:lineRule="auto"/>
        <w:ind w:firstLine="480"/>
        <w:jc w:val="both"/>
        <w:rPr>
          <w:rFonts w:ascii="Times New Roman" w:hAnsi="Times New Roman"/>
        </w:rPr>
      </w:pPr>
      <w:r>
        <w:rPr>
          <w:rFonts w:ascii="Times New Roman" w:hAnsi="Times New Roman"/>
        </w:rPr>
        <w:t>（4）湿法脱硫设施需配备湿式电除尘器；半干法脱硫设施需配备高效袋式除尘器；活性炭脱硫脱硝设施后如颗粒物不能满足要求的，需配备高效袋式除尘器。</w:t>
      </w:r>
    </w:p>
    <w:p w14:paraId="7BFD5FCD">
      <w:pPr>
        <w:spacing w:line="360" w:lineRule="auto"/>
        <w:rPr>
          <w:rFonts w:ascii="Times New Roman" w:hAnsi="Times New Roman" w:cs="Times New Roman"/>
        </w:rPr>
      </w:pPr>
      <w:bookmarkStart w:id="158" w:name="_Toc185781652"/>
      <w:bookmarkStart w:id="159" w:name="_Toc185784362"/>
      <w:bookmarkStart w:id="160" w:name="_Toc185779086"/>
      <w:bookmarkStart w:id="161" w:name="_Toc185779022"/>
      <w:r>
        <w:rPr>
          <w:rFonts w:ascii="Times New Roman" w:hAnsi="Times New Roman" w:cs="Times New Roman"/>
        </w:rPr>
        <w:t>8.1.2 烧结机机尾、烧结筛分、球团焙烧设备机尾、焦炉（装煤、推焦、干熄焦、筛焦）、高炉出铁场、高炉矿槽、转炉（二次烟气、三次烟气）、电炉、混铁炉、铁水预处理、精炼炉、石灰窑、白云石窑等含尘废气</w:t>
      </w:r>
      <w:bookmarkEnd w:id="158"/>
      <w:bookmarkEnd w:id="159"/>
      <w:bookmarkEnd w:id="160"/>
      <w:bookmarkEnd w:id="161"/>
    </w:p>
    <w:p w14:paraId="36C3DB64">
      <w:pPr>
        <w:pStyle w:val="13"/>
        <w:spacing w:line="360" w:lineRule="auto"/>
        <w:ind w:firstLine="480"/>
        <w:jc w:val="both"/>
        <w:rPr>
          <w:rFonts w:ascii="Times New Roman" w:hAnsi="Times New Roman"/>
        </w:rPr>
      </w:pPr>
      <w:r>
        <w:rPr>
          <w:rFonts w:ascii="Times New Roman" w:hAnsi="Times New Roman"/>
        </w:rPr>
        <w:t>（1）宜采用高效节能袋式除尘技术，依据具体工况条件和要求确定滤袋的形式和滤料材质。</w:t>
      </w:r>
    </w:p>
    <w:p w14:paraId="048FAAE7">
      <w:pPr>
        <w:pStyle w:val="13"/>
        <w:spacing w:line="360" w:lineRule="auto"/>
        <w:ind w:firstLine="480"/>
        <w:jc w:val="both"/>
        <w:rPr>
          <w:rFonts w:ascii="Times New Roman" w:hAnsi="Times New Roman"/>
        </w:rPr>
      </w:pPr>
      <w:r>
        <w:rPr>
          <w:rFonts w:ascii="Times New Roman" w:hAnsi="Times New Roman"/>
        </w:rPr>
        <w:t>（2）鼓励采用预荷电袋滤器技术、折叠滤筒除尘技术。</w:t>
      </w:r>
    </w:p>
    <w:p w14:paraId="5680C7C9">
      <w:pPr>
        <w:pStyle w:val="13"/>
        <w:spacing w:line="360" w:lineRule="auto"/>
        <w:ind w:firstLine="480"/>
        <w:jc w:val="both"/>
        <w:rPr>
          <w:rFonts w:ascii="Times New Roman" w:hAnsi="Times New Roman"/>
        </w:rPr>
      </w:pPr>
      <w:r>
        <w:rPr>
          <w:rFonts w:ascii="Times New Roman" w:hAnsi="Times New Roman"/>
        </w:rPr>
        <w:t>（3）由于场地受限，导致采用普通圆袋过滤风速无法达到0.8m/min时，宜采用折叠滤筒等除尘技术。</w:t>
      </w:r>
    </w:p>
    <w:p w14:paraId="32BFF8C9">
      <w:pPr>
        <w:pStyle w:val="13"/>
        <w:spacing w:line="360" w:lineRule="auto"/>
        <w:ind w:firstLine="480"/>
        <w:jc w:val="both"/>
        <w:rPr>
          <w:rFonts w:ascii="Times New Roman" w:hAnsi="Times New Roman"/>
        </w:rPr>
      </w:pPr>
      <w:r>
        <w:rPr>
          <w:rFonts w:ascii="Times New Roman" w:hAnsi="Times New Roman"/>
        </w:rPr>
        <w:t>（4）鼓励使用聚四氟乙烯微孔覆膜滤料、超细纤维面层梯度滤料、金属间化合物多孔（膜）材料等新型滤材。</w:t>
      </w:r>
    </w:p>
    <w:p w14:paraId="08DB7D68">
      <w:pPr>
        <w:pStyle w:val="13"/>
        <w:spacing w:line="360" w:lineRule="auto"/>
        <w:ind w:firstLine="480"/>
        <w:jc w:val="both"/>
        <w:rPr>
          <w:rFonts w:ascii="Times New Roman" w:hAnsi="Times New Roman"/>
        </w:rPr>
      </w:pPr>
      <w:r>
        <w:rPr>
          <w:rFonts w:ascii="Times New Roman" w:hAnsi="Times New Roman"/>
        </w:rPr>
        <w:t>（5）废气中含磨琢性较强的粉尘时，如烧结矿筛分废气，宜采用超细纤维面层针刺/水刺滤料，不宜使用覆膜滤料。</w:t>
      </w:r>
    </w:p>
    <w:p w14:paraId="7913ABD8">
      <w:pPr>
        <w:pStyle w:val="13"/>
        <w:spacing w:line="360" w:lineRule="auto"/>
        <w:jc w:val="both"/>
        <w:rPr>
          <w:rFonts w:ascii="Times New Roman" w:hAnsi="Times New Roman"/>
        </w:rPr>
      </w:pPr>
      <w:r>
        <w:rPr>
          <w:rFonts w:ascii="Times New Roman" w:hAnsi="Times New Roman"/>
        </w:rPr>
        <w:t>8.1.3 电炉烟气</w:t>
      </w:r>
    </w:p>
    <w:p w14:paraId="22C92523">
      <w:pPr>
        <w:pStyle w:val="13"/>
        <w:spacing w:line="360" w:lineRule="auto"/>
        <w:ind w:firstLine="480"/>
        <w:jc w:val="both"/>
        <w:rPr>
          <w:rFonts w:ascii="Times New Roman" w:hAnsi="Times New Roman"/>
        </w:rPr>
      </w:pPr>
      <w:r>
        <w:rPr>
          <w:rFonts w:ascii="Times New Roman" w:hAnsi="Times New Roman"/>
        </w:rPr>
        <w:t>电炉烟气应采用炉内排烟+密闭罩+屋顶罩的捕集方式；炉内排烟应采用烟气急冷+高效袋式除尘技术。</w:t>
      </w:r>
    </w:p>
    <w:p w14:paraId="0D881D4A">
      <w:pPr>
        <w:pStyle w:val="13"/>
        <w:spacing w:line="360" w:lineRule="auto"/>
        <w:jc w:val="both"/>
        <w:rPr>
          <w:rFonts w:ascii="Times New Roman" w:hAnsi="Times New Roman"/>
        </w:rPr>
      </w:pPr>
      <w:r>
        <w:rPr>
          <w:rFonts w:ascii="Times New Roman" w:hAnsi="Times New Roman"/>
        </w:rPr>
        <w:t>8.1.4 含湿废气</w:t>
      </w:r>
    </w:p>
    <w:p w14:paraId="131D3349">
      <w:pPr>
        <w:pStyle w:val="13"/>
        <w:spacing w:line="360" w:lineRule="auto"/>
        <w:ind w:firstLine="480"/>
        <w:jc w:val="both"/>
        <w:rPr>
          <w:rFonts w:ascii="Times New Roman" w:hAnsi="Times New Roman"/>
        </w:rPr>
      </w:pPr>
      <w:r>
        <w:rPr>
          <w:rFonts w:ascii="Times New Roman" w:hAnsi="Times New Roman"/>
        </w:rPr>
        <w:t>烧结混料环节若单独排放，可采用高效湿式除尘器；轧钢（棒、线材除外）车间精轧机宜采用塑烧板除尘；钢渣热闷废气宜采用高效湿式除尘器。</w:t>
      </w:r>
    </w:p>
    <w:p w14:paraId="77122558">
      <w:pPr>
        <w:pStyle w:val="13"/>
        <w:spacing w:line="360" w:lineRule="auto"/>
        <w:ind w:firstLine="480"/>
        <w:jc w:val="both"/>
        <w:rPr>
          <w:rFonts w:ascii="Times New Roman" w:hAnsi="Times New Roman"/>
        </w:rPr>
      </w:pPr>
      <w:r>
        <w:rPr>
          <w:rFonts w:ascii="Times New Roman" w:hAnsi="Times New Roman"/>
        </w:rPr>
        <w:t>各主要技术参数参考值：</w:t>
      </w:r>
    </w:p>
    <w:p w14:paraId="32ABF525">
      <w:pPr>
        <w:pStyle w:val="13"/>
        <w:spacing w:line="360" w:lineRule="auto"/>
        <w:ind w:firstLine="480"/>
        <w:jc w:val="both"/>
        <w:rPr>
          <w:rFonts w:ascii="Times New Roman" w:hAnsi="Times New Roman"/>
        </w:rPr>
      </w:pPr>
      <w:r>
        <w:rPr>
          <w:rFonts w:ascii="Times New Roman" w:hAnsi="Times New Roman"/>
        </w:rPr>
        <w:t>1.湿式电除尘器：烟气温度60℃以下；电场风速不宜大于2m/s；宜选用金属材质。</w:t>
      </w:r>
    </w:p>
    <w:p w14:paraId="4F9CEEA7">
      <w:pPr>
        <w:pStyle w:val="13"/>
        <w:spacing w:line="360" w:lineRule="auto"/>
        <w:ind w:firstLine="480"/>
        <w:jc w:val="both"/>
        <w:rPr>
          <w:rFonts w:ascii="Times New Roman" w:hAnsi="Times New Roman"/>
        </w:rPr>
      </w:pPr>
      <w:r>
        <w:rPr>
          <w:rFonts w:ascii="Times New Roman" w:hAnsi="Times New Roman"/>
        </w:rPr>
        <w:t>2.高效袋式除尘器：过滤风速宜小于0.8m/min；除尘器阻力宜小于1200Pa；漏风率小于2%；除尘器进口应设置气流分布均流装置。</w:t>
      </w:r>
    </w:p>
    <w:p w14:paraId="755FF40C">
      <w:pPr>
        <w:pStyle w:val="13"/>
        <w:spacing w:line="360" w:lineRule="auto"/>
        <w:ind w:firstLine="480"/>
        <w:jc w:val="both"/>
        <w:rPr>
          <w:rFonts w:ascii="Times New Roman" w:hAnsi="Times New Roman"/>
        </w:rPr>
      </w:pPr>
      <w:r>
        <w:rPr>
          <w:rFonts w:ascii="Times New Roman" w:hAnsi="Times New Roman"/>
        </w:rPr>
        <w:t>3.滤筒除尘器：全过滤风速小于0.7m/min；绑带间距差异宜小于0.5mm；根据入口粉尘浓度以及粉尘特性，滤筒折数宜小于46；除尘器进口应设置气流分布均流装置。</w:t>
      </w:r>
    </w:p>
    <w:p w14:paraId="7B32D6CF">
      <w:pPr>
        <w:pStyle w:val="13"/>
        <w:spacing w:line="360" w:lineRule="auto"/>
        <w:ind w:firstLine="480"/>
        <w:jc w:val="both"/>
        <w:rPr>
          <w:rFonts w:ascii="Times New Roman" w:hAnsi="Times New Roman"/>
        </w:rPr>
      </w:pPr>
      <w:r>
        <w:rPr>
          <w:rFonts w:ascii="Times New Roman" w:hAnsi="Times New Roman"/>
        </w:rPr>
        <w:t>4.石灰石/石灰-石膏湿法脱硫：脱硫塔入口粉尘浓度宜小于50mg/m3；其他相关技术要求满足《石灰石/石灰-石膏湿法烟气脱硫工程通用技术规范》（HJ 179-2018）要求。</w:t>
      </w:r>
    </w:p>
    <w:p w14:paraId="5DC7ABF5">
      <w:pPr>
        <w:pStyle w:val="13"/>
        <w:spacing w:line="360" w:lineRule="auto"/>
        <w:ind w:firstLine="480"/>
        <w:jc w:val="both"/>
        <w:rPr>
          <w:rFonts w:ascii="Times New Roman" w:hAnsi="Times New Roman"/>
        </w:rPr>
      </w:pPr>
      <w:r>
        <w:rPr>
          <w:rFonts w:ascii="Times New Roman" w:hAnsi="Times New Roman"/>
        </w:rPr>
        <w:t>5.烟气循环流化床半干法脱硫：除尘器滤料可采用耐温耐腐蚀的超细纤维面层梯度滤料、复合滤料等；除尘器阻力宜小于2000Pa；其他相关技术要求满足《烟气循环流化床法烟气脱硫工程通用技术规范》（HJ 178-2018）要求。</w:t>
      </w:r>
    </w:p>
    <w:p w14:paraId="6F7AB1E5">
      <w:pPr>
        <w:pStyle w:val="13"/>
        <w:spacing w:line="360" w:lineRule="auto"/>
        <w:ind w:firstLine="480"/>
        <w:jc w:val="both"/>
        <w:rPr>
          <w:rFonts w:ascii="Times New Roman" w:hAnsi="Times New Roman"/>
        </w:rPr>
      </w:pPr>
      <w:r>
        <w:rPr>
          <w:rFonts w:ascii="Times New Roman" w:hAnsi="Times New Roman"/>
        </w:rPr>
        <w:t>6.活性炭（焦）脱硫脱硝一体化设施：脱硫段烟气停留时间不小于6s；脱硝段烟气停留时间不小于7.5s；活性炭性能指标及检测方法满足《煤质颗粒活性炭试验方法》（GB/T 7702）、《脱硫脱硝用煤质颗粒活性炭试验方法》（GB/T 30202）、《烟气集成净化专用碳基产品》（GB/T 35254）要求。</w:t>
      </w:r>
    </w:p>
    <w:p w14:paraId="3AB8E9CB">
      <w:pPr>
        <w:pStyle w:val="13"/>
        <w:spacing w:line="360" w:lineRule="auto"/>
        <w:ind w:firstLine="480"/>
        <w:jc w:val="both"/>
        <w:rPr>
          <w:rFonts w:ascii="Times New Roman" w:hAnsi="Times New Roman"/>
        </w:rPr>
      </w:pPr>
      <w:r>
        <w:rPr>
          <w:rFonts w:ascii="Times New Roman" w:hAnsi="Times New Roman"/>
        </w:rPr>
        <w:t>7.选择性催化还原（SCR）脱硝：氨氮摩尔比小于1； 催化剂层数不少于2层；反应温度小于230℃时，催化剂空速小于3800h</w:t>
      </w:r>
      <w:r>
        <w:rPr>
          <w:rFonts w:ascii="Times New Roman" w:hAnsi="Times New Roman"/>
          <w:vertAlign w:val="superscript"/>
        </w:rPr>
        <w:t>-1</w:t>
      </w:r>
      <w:r>
        <w:rPr>
          <w:rFonts w:ascii="Times New Roman" w:hAnsi="Times New Roman"/>
        </w:rPr>
        <w:t>；反应温度280℃左右时，催化剂空速小于4500h</w:t>
      </w:r>
      <w:r>
        <w:rPr>
          <w:rFonts w:ascii="Times New Roman" w:hAnsi="Times New Roman"/>
          <w:vertAlign w:val="superscript"/>
        </w:rPr>
        <w:t>-1</w:t>
      </w:r>
      <w:r>
        <w:rPr>
          <w:rFonts w:ascii="Times New Roman" w:hAnsi="Times New Roman"/>
        </w:rPr>
        <w:t>。</w:t>
      </w:r>
    </w:p>
    <w:p w14:paraId="1AF1D152">
      <w:pPr>
        <w:pStyle w:val="13"/>
        <w:spacing w:line="360" w:lineRule="auto"/>
        <w:ind w:firstLine="480"/>
        <w:jc w:val="both"/>
        <w:rPr>
          <w:rFonts w:ascii="Times New Roman" w:hAnsi="Times New Roman"/>
        </w:rPr>
      </w:pPr>
      <w:r>
        <w:rPr>
          <w:rFonts w:ascii="Times New Roman" w:hAnsi="Times New Roman"/>
        </w:rPr>
        <w:t>钢铁工业治理技术较以前更为完善，能够达到更高的排放水平。根据调研，上海市目前钢铁行业颗粒物、二氧化硫、氮氧化物污染治理技术成熟，已能够实现超低排放，可以满足本标准的排放限值要求，技术上可行。</w:t>
      </w:r>
    </w:p>
    <w:p w14:paraId="40263C08">
      <w:pPr>
        <w:pStyle w:val="37"/>
        <w:spacing w:before="163"/>
        <w:ind w:left="0"/>
      </w:pPr>
      <w:bookmarkStart w:id="162" w:name="_Toc217058325"/>
      <w:r>
        <w:t>8.2 经济可行性</w:t>
      </w:r>
      <w:bookmarkEnd w:id="162"/>
    </w:p>
    <w:p w14:paraId="3EBB7DC8">
      <w:pPr>
        <w:pStyle w:val="13"/>
        <w:spacing w:line="360" w:lineRule="auto"/>
        <w:ind w:firstLine="480"/>
        <w:jc w:val="both"/>
        <w:rPr>
          <w:rFonts w:ascii="Times New Roman" w:hAnsi="Times New Roman"/>
        </w:rPr>
      </w:pPr>
      <w:r>
        <w:rPr>
          <w:rFonts w:ascii="Times New Roman" w:hAnsi="Times New Roman"/>
        </w:rPr>
        <w:t>我市宝钢股份已于2023年2月完成</w:t>
      </w:r>
      <w:r>
        <w:rPr>
          <w:rFonts w:hint="eastAsia" w:ascii="Times New Roman" w:hAnsi="Times New Roman"/>
        </w:rPr>
        <w:t>钢铁工业</w:t>
      </w:r>
      <w:r>
        <w:rPr>
          <w:rFonts w:ascii="Times New Roman" w:hAnsi="Times New Roman"/>
        </w:rPr>
        <w:t>超低排放改造</w:t>
      </w:r>
      <w:r>
        <w:rPr>
          <w:rFonts w:hint="eastAsia" w:ascii="Times New Roman" w:hAnsi="Times New Roman"/>
        </w:rPr>
        <w:t>（投入7</w:t>
      </w:r>
      <w:r>
        <w:rPr>
          <w:rFonts w:ascii="Times New Roman" w:hAnsi="Times New Roman"/>
        </w:rPr>
        <w:t>5.6</w:t>
      </w:r>
      <w:r>
        <w:rPr>
          <w:rFonts w:hint="eastAsia" w:ascii="Times New Roman" w:hAnsi="Times New Roman"/>
        </w:rPr>
        <w:t>亿元）</w:t>
      </w:r>
      <w:r>
        <w:rPr>
          <w:rFonts w:ascii="Times New Roman" w:hAnsi="Times New Roman"/>
        </w:rPr>
        <w:t>并进行全流程公示，本次标准限值的取值确定基本按照宝钢股份现行运行在线监测数据来确定，</w:t>
      </w:r>
      <w:r>
        <w:rPr>
          <w:rFonts w:hint="eastAsia" w:ascii="Times New Roman" w:hAnsi="Times New Roman"/>
        </w:rPr>
        <w:t>除轧钢工艺热处理炉外，</w:t>
      </w:r>
      <w:r>
        <w:rPr>
          <w:rFonts w:ascii="Times New Roman" w:hAnsi="Times New Roman"/>
        </w:rPr>
        <w:t>从治理设施改造层面而言，已无需重新投入一次投资费用，主要为环保设施运行费用</w:t>
      </w:r>
      <w:r>
        <w:rPr>
          <w:rFonts w:hint="eastAsia" w:ascii="Times New Roman" w:hAnsi="Times New Roman"/>
        </w:rPr>
        <w:t>，预期投入</w:t>
      </w:r>
      <w:r>
        <w:rPr>
          <w:rFonts w:ascii="Times New Roman" w:hAnsi="Times New Roman"/>
        </w:rPr>
        <w:t>5</w:t>
      </w:r>
      <w:r>
        <w:rPr>
          <w:rFonts w:hint="eastAsia" w:ascii="Times New Roman" w:hAnsi="Times New Roman"/>
        </w:rPr>
        <w:t>亿元；为使污染物排放达到标准设定的限值，宝钢股份将进一步采取</w:t>
      </w:r>
      <w:r>
        <w:rPr>
          <w:rFonts w:hint="eastAsia" w:ascii="Times New Roman" w:hAnsi="Times New Roman"/>
          <w:lang w:val="en-US" w:eastAsia="zh-CN"/>
        </w:rPr>
        <w:t>焦化、烧结烟气</w:t>
      </w:r>
      <w:r>
        <w:rPr>
          <w:rFonts w:hint="eastAsia" w:ascii="Times New Roman" w:hAnsi="Times New Roman"/>
        </w:rPr>
        <w:t>脱硝</w:t>
      </w:r>
      <w:r>
        <w:rPr>
          <w:rFonts w:hint="eastAsia" w:ascii="Times New Roman" w:hAnsi="Times New Roman"/>
          <w:lang w:val="en-US" w:eastAsia="zh-CN"/>
        </w:rPr>
        <w:t>设施提效</w:t>
      </w:r>
      <w:r>
        <w:rPr>
          <w:rFonts w:hint="eastAsia" w:ascii="Times New Roman" w:hAnsi="Times New Roman"/>
        </w:rPr>
        <w:t>等改造工作，预期投入</w:t>
      </w:r>
      <w:r>
        <w:rPr>
          <w:rFonts w:hint="eastAsia" w:ascii="Times New Roman" w:hAnsi="Times New Roman"/>
          <w:lang w:val="en-US" w:eastAsia="zh-CN"/>
        </w:rPr>
        <w:t>7.73亿</w:t>
      </w:r>
      <w:r>
        <w:rPr>
          <w:rFonts w:ascii="Times New Roman" w:hAnsi="Times New Roman"/>
        </w:rPr>
        <w:t>元</w:t>
      </w:r>
      <w:r>
        <w:rPr>
          <w:rFonts w:hint="eastAsia" w:ascii="Times New Roman" w:hAnsi="Times New Roman"/>
        </w:rPr>
        <w:t>；宝武碳业也根据《关于推进实施焦化行业超低排放的意见》安排了资金并启动相关改造措施，预期投入1</w:t>
      </w:r>
      <w:r>
        <w:rPr>
          <w:rFonts w:ascii="Times New Roman" w:hAnsi="Times New Roman"/>
        </w:rPr>
        <w:t>.4</w:t>
      </w:r>
      <w:r>
        <w:rPr>
          <w:rFonts w:hint="eastAsia" w:ascii="Times New Roman" w:hAnsi="Times New Roman"/>
        </w:rPr>
        <w:t>亿元，</w:t>
      </w:r>
      <w:r>
        <w:rPr>
          <w:rFonts w:ascii="Times New Roman" w:hAnsi="Times New Roman"/>
        </w:rPr>
        <w:t>因此本标准的实施具备经济可行性。</w:t>
      </w:r>
    </w:p>
    <w:p w14:paraId="1BD44C96">
      <w:pPr>
        <w:pStyle w:val="38"/>
        <w:spacing w:before="163"/>
        <w:rPr>
          <w:rFonts w:eastAsia="宋体"/>
        </w:rPr>
      </w:pPr>
      <w:bookmarkStart w:id="163" w:name="_Toc217058326"/>
      <w:r>
        <w:rPr>
          <w:rFonts w:eastAsia="宋体"/>
        </w:rPr>
        <w:t>9 贯彻实施标准的建议</w:t>
      </w:r>
      <w:bookmarkEnd w:id="163"/>
    </w:p>
    <w:p w14:paraId="165D357B">
      <w:pPr>
        <w:pStyle w:val="35"/>
        <w:ind w:firstLine="480"/>
        <w:rPr>
          <w:rFonts w:cs="Times New Roman"/>
          <w:szCs w:val="28"/>
        </w:rPr>
      </w:pPr>
      <w:r>
        <w:rPr>
          <w:rFonts w:cs="Times New Roman"/>
          <w:szCs w:val="28"/>
        </w:rPr>
        <w:t>为保证本标准的顺利实施，提出建议如下：</w:t>
      </w:r>
    </w:p>
    <w:p w14:paraId="0986FCD2">
      <w:pPr>
        <w:pStyle w:val="37"/>
        <w:spacing w:before="163"/>
      </w:pPr>
      <w:bookmarkStart w:id="164" w:name="_Toc217058327"/>
      <w:r>
        <w:t>9.1实施方式</w:t>
      </w:r>
      <w:bookmarkEnd w:id="164"/>
    </w:p>
    <w:p w14:paraId="6BD66098">
      <w:pPr>
        <w:pStyle w:val="35"/>
        <w:ind w:firstLine="480"/>
        <w:rPr>
          <w:rFonts w:cs="Times New Roman"/>
          <w:szCs w:val="28"/>
        </w:rPr>
      </w:pPr>
      <w:r>
        <w:rPr>
          <w:rFonts w:cs="Times New Roman"/>
          <w:szCs w:val="28"/>
        </w:rPr>
        <w:t>本标准由生态环境主管部门负责监督实施。排污单位</w:t>
      </w:r>
      <w:r>
        <w:t>是实施排放标准的责任主体，应采取必要措施，达到本</w:t>
      </w:r>
      <w:r>
        <w:rPr>
          <w:rFonts w:hint="eastAsia"/>
        </w:rPr>
        <w:t>文件</w:t>
      </w:r>
      <w:r>
        <w:t>规定的污染物排放控制要求。</w:t>
      </w:r>
      <w:r>
        <w:rPr>
          <w:rFonts w:cs="Times New Roman"/>
          <w:szCs w:val="28"/>
        </w:rPr>
        <w:t>各级环保部门在对设施进行执法检查时，可以以现场即时采样或监测的结果，作为判定排污行为是否符合排放标准以及实施相关环境保护管理措施的依据。</w:t>
      </w:r>
    </w:p>
    <w:p w14:paraId="2F9A91F3">
      <w:pPr>
        <w:pStyle w:val="37"/>
        <w:spacing w:before="163"/>
      </w:pPr>
      <w:bookmarkStart w:id="165" w:name="_Toc217058328"/>
      <w:r>
        <w:t>9.2加强超低排放与低碳协同发展</w:t>
      </w:r>
      <w:bookmarkEnd w:id="165"/>
    </w:p>
    <w:p w14:paraId="7B4D52F2">
      <w:pPr>
        <w:pStyle w:val="35"/>
        <w:ind w:firstLine="480"/>
        <w:jc w:val="both"/>
        <w:rPr>
          <w:rFonts w:cs="Times New Roman"/>
          <w:szCs w:val="28"/>
        </w:rPr>
      </w:pPr>
      <w:r>
        <w:rPr>
          <w:rFonts w:cs="Times New Roman"/>
          <w:szCs w:val="28"/>
        </w:rPr>
        <w:t>应加强低碳与超低排放的协同作用，应出台激励政策，通过金融手段鼓励企业通过减污降碳措施，尽可能的实现污染物减量的同时少增碳甚至总体不增碳，为钢铁工业“十四五”期间节能降碳，全力完成“30、60”碳达峰与碳中和的低碳目标打下坚实基础。</w:t>
      </w:r>
    </w:p>
    <w:p w14:paraId="0460953C">
      <w:pPr>
        <w:pStyle w:val="35"/>
        <w:ind w:firstLine="480"/>
        <w:rPr>
          <w:rFonts w:cs="Times New Roman"/>
        </w:rPr>
      </w:pP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宋体..鐅.">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2460310"/>
    </w:sdtPr>
    <w:sdtContent>
      <w:p w14:paraId="1FA8AC81">
        <w:pPr>
          <w:pStyle w:val="17"/>
          <w:jc w:val="center"/>
        </w:pPr>
        <w:r>
          <w:fldChar w:fldCharType="begin"/>
        </w:r>
        <w:r>
          <w:instrText xml:space="preserve">PAGE   \* MERGEFORMAT</w:instrText>
        </w:r>
        <w:r>
          <w:fldChar w:fldCharType="separate"/>
        </w:r>
        <w:r>
          <w:rPr>
            <w:lang w:val="zh-CN"/>
          </w:rPr>
          <w:t>49</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0"/>
    <w:multiLevelType w:val="multilevel"/>
    <w:tmpl w:val="00000020"/>
    <w:lvl w:ilvl="0" w:tentative="0">
      <w:start w:val="1"/>
      <w:numFmt w:val="decimal"/>
      <w:pStyle w:val="77"/>
      <w:lvlText w:val="表%1   "/>
      <w:lvlJc w:val="center"/>
      <w:pPr>
        <w:tabs>
          <w:tab w:val="left" w:pos="984"/>
        </w:tabs>
        <w:ind w:left="814" w:hanging="170"/>
      </w:pPr>
      <w:rPr>
        <w:rFonts w:hint="default" w:ascii="Times New Roman" w:hAnsi="Times New Roman" w:eastAsia="宋体"/>
        <w:b w:val="0"/>
        <w:i w:val="0"/>
        <w:sz w:val="24"/>
        <w:szCs w:val="24"/>
      </w:rPr>
    </w:lvl>
    <w:lvl w:ilvl="1" w:tentative="0">
      <w:start w:val="1"/>
      <w:numFmt w:val="lowerLetter"/>
      <w:lvlText w:val="%2)"/>
      <w:lvlJc w:val="left"/>
      <w:pPr>
        <w:tabs>
          <w:tab w:val="left" w:pos="1200"/>
        </w:tabs>
        <w:ind w:left="1200" w:hanging="420"/>
      </w:pPr>
      <w:rPr>
        <w:rFonts w:hint="eastAsia"/>
      </w:rPr>
    </w:lvl>
    <w:lvl w:ilvl="2" w:tentative="0">
      <w:start w:val="1"/>
      <w:numFmt w:val="lowerRoman"/>
      <w:lvlText w:val="%3."/>
      <w:lvlJc w:val="right"/>
      <w:pPr>
        <w:tabs>
          <w:tab w:val="left" w:pos="1620"/>
        </w:tabs>
        <w:ind w:left="1620" w:hanging="420"/>
      </w:pPr>
      <w:rPr>
        <w:rFonts w:hint="eastAsia"/>
      </w:rPr>
    </w:lvl>
    <w:lvl w:ilvl="3" w:tentative="0">
      <w:start w:val="1"/>
      <w:numFmt w:val="decimal"/>
      <w:lvlText w:val="图%4."/>
      <w:lvlJc w:val="left"/>
      <w:pPr>
        <w:tabs>
          <w:tab w:val="left" w:pos="2040"/>
        </w:tabs>
        <w:ind w:left="2040" w:hanging="420"/>
      </w:pPr>
      <w:rPr>
        <w:rFonts w:hint="eastAsia"/>
      </w:rPr>
    </w:lvl>
    <w:lvl w:ilvl="4" w:tentative="0">
      <w:start w:val="1"/>
      <w:numFmt w:val="lowerLetter"/>
      <w:lvlText w:val="%5)"/>
      <w:lvlJc w:val="left"/>
      <w:pPr>
        <w:tabs>
          <w:tab w:val="left" w:pos="2460"/>
        </w:tabs>
        <w:ind w:left="2460" w:hanging="420"/>
      </w:pPr>
      <w:rPr>
        <w:rFonts w:hint="eastAsia"/>
      </w:rPr>
    </w:lvl>
    <w:lvl w:ilvl="5" w:tentative="0">
      <w:start w:val="1"/>
      <w:numFmt w:val="lowerRoman"/>
      <w:lvlText w:val="%6."/>
      <w:lvlJc w:val="right"/>
      <w:pPr>
        <w:tabs>
          <w:tab w:val="left" w:pos="2880"/>
        </w:tabs>
        <w:ind w:left="2880" w:hanging="420"/>
      </w:pPr>
      <w:rPr>
        <w:rFonts w:hint="eastAsia"/>
      </w:rPr>
    </w:lvl>
    <w:lvl w:ilvl="6" w:tentative="0">
      <w:start w:val="1"/>
      <w:numFmt w:val="decimal"/>
      <w:lvlText w:val="%7."/>
      <w:lvlJc w:val="left"/>
      <w:pPr>
        <w:tabs>
          <w:tab w:val="left" w:pos="3300"/>
        </w:tabs>
        <w:ind w:left="3300" w:hanging="420"/>
      </w:pPr>
      <w:rPr>
        <w:rFonts w:hint="eastAsia"/>
      </w:rPr>
    </w:lvl>
    <w:lvl w:ilvl="7" w:tentative="0">
      <w:start w:val="1"/>
      <w:numFmt w:val="lowerLetter"/>
      <w:lvlText w:val="%8)"/>
      <w:lvlJc w:val="left"/>
      <w:pPr>
        <w:tabs>
          <w:tab w:val="left" w:pos="3720"/>
        </w:tabs>
        <w:ind w:left="3720" w:hanging="420"/>
      </w:pPr>
      <w:rPr>
        <w:rFonts w:hint="eastAsia"/>
      </w:rPr>
    </w:lvl>
    <w:lvl w:ilvl="8" w:tentative="0">
      <w:start w:val="1"/>
      <w:numFmt w:val="lowerRoman"/>
      <w:lvlText w:val="%9."/>
      <w:lvlJc w:val="right"/>
      <w:pPr>
        <w:tabs>
          <w:tab w:val="left" w:pos="4140"/>
        </w:tabs>
        <w:ind w:left="4140" w:hanging="420"/>
      </w:pPr>
      <w:rPr>
        <w:rFonts w:hint="eastAsia"/>
      </w:rPr>
    </w:lvl>
  </w:abstractNum>
  <w:abstractNum w:abstractNumId="1">
    <w:nsid w:val="39AD70B5"/>
    <w:multiLevelType w:val="multilevel"/>
    <w:tmpl w:val="39AD70B5"/>
    <w:lvl w:ilvl="0" w:tentative="0">
      <w:start w:val="3"/>
      <w:numFmt w:val="decimal"/>
      <w:pStyle w:val="118"/>
      <w:lvlText w:val="%1."/>
      <w:lvlJc w:val="left"/>
      <w:pPr>
        <w:ind w:left="360" w:hanging="360"/>
      </w:pPr>
      <w:rPr>
        <w:rFonts w:hint="default"/>
      </w:rPr>
    </w:lvl>
    <w:lvl w:ilvl="1" w:tentative="0">
      <w:start w:val="1"/>
      <w:numFmt w:val="lowerLetter"/>
      <w:pStyle w:val="116"/>
      <w:lvlText w:val="%2)"/>
      <w:lvlJc w:val="left"/>
      <w:pPr>
        <w:ind w:left="840" w:hanging="420"/>
      </w:pPr>
    </w:lvl>
    <w:lvl w:ilvl="2" w:tentative="0">
      <w:start w:val="1"/>
      <w:numFmt w:val="lowerRoman"/>
      <w:pStyle w:val="112"/>
      <w:lvlText w:val="%3."/>
      <w:lvlJc w:val="right"/>
      <w:pPr>
        <w:ind w:left="1260" w:hanging="420"/>
      </w:pPr>
    </w:lvl>
    <w:lvl w:ilvl="3" w:tentative="0">
      <w:start w:val="1"/>
      <w:numFmt w:val="decimal"/>
      <w:pStyle w:val="108"/>
      <w:lvlText w:val="%4."/>
      <w:lvlJc w:val="left"/>
      <w:pPr>
        <w:ind w:left="1680" w:hanging="420"/>
      </w:pPr>
    </w:lvl>
    <w:lvl w:ilvl="4" w:tentative="0">
      <w:start w:val="1"/>
      <w:numFmt w:val="lowerLetter"/>
      <w:pStyle w:val="114"/>
      <w:lvlText w:val="%5)"/>
      <w:lvlJc w:val="left"/>
      <w:pPr>
        <w:ind w:left="2100" w:hanging="420"/>
      </w:pPr>
    </w:lvl>
    <w:lvl w:ilvl="5" w:tentative="0">
      <w:start w:val="1"/>
      <w:numFmt w:val="lowerRoman"/>
      <w:pStyle w:val="110"/>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46260FA"/>
    <w:multiLevelType w:val="multilevel"/>
    <w:tmpl w:val="646260FA"/>
    <w:lvl w:ilvl="0" w:tentative="0">
      <w:start w:val="1"/>
      <w:numFmt w:val="decimal"/>
      <w:pStyle w:val="5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CEA2025"/>
    <w:multiLevelType w:val="multilevel"/>
    <w:tmpl w:val="6CEA2025"/>
    <w:lvl w:ilvl="0" w:tentative="0">
      <w:start w:val="1"/>
      <w:numFmt w:val="none"/>
      <w:pStyle w:val="63"/>
      <w:suff w:val="nothing"/>
      <w:lvlText w:val="%1"/>
      <w:lvlJc w:val="left"/>
      <w:pPr>
        <w:ind w:left="0" w:firstLine="0"/>
      </w:pPr>
      <w:rPr>
        <w:rFonts w:hint="default" w:ascii="Times New Roman" w:hAnsi="Times New Roman"/>
        <w:b/>
        <w:i w:val="0"/>
        <w:sz w:val="21"/>
      </w:rPr>
    </w:lvl>
    <w:lvl w:ilvl="1" w:tentative="0">
      <w:start w:val="1"/>
      <w:numFmt w:val="decimal"/>
      <w:pStyle w:val="64"/>
      <w:suff w:val="nothing"/>
      <w:lvlText w:val="%1%2　"/>
      <w:lvlJc w:val="left"/>
      <w:pPr>
        <w:ind w:left="142" w:firstLine="0"/>
      </w:pPr>
      <w:rPr>
        <w:rFonts w:hint="eastAsia" w:ascii="黑体" w:hAnsi="Times New Roman" w:eastAsia="黑体"/>
        <w:b w:val="0"/>
        <w:i w:val="0"/>
        <w:sz w:val="21"/>
      </w:rPr>
    </w:lvl>
    <w:lvl w:ilvl="2" w:tentative="0">
      <w:start w:val="1"/>
      <w:numFmt w:val="decimal"/>
      <w:pStyle w:val="65"/>
      <w:suff w:val="nothing"/>
      <w:lvlText w:val="%1%2.%3　"/>
      <w:lvlJc w:val="left"/>
      <w:pPr>
        <w:ind w:left="709"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66"/>
      <w:suff w:val="nothing"/>
      <w:lvlText w:val="%1%2.%3.%4.%5.%6　"/>
      <w:lvlJc w:val="left"/>
      <w:pPr>
        <w:ind w:left="0" w:firstLine="0"/>
      </w:pPr>
      <w:rPr>
        <w:rFonts w:hint="eastAsia" w:ascii="黑体" w:hAnsi="Times New Roman" w:eastAsia="黑体"/>
        <w:b w:val="0"/>
        <w:i w:val="0"/>
        <w:sz w:val="21"/>
      </w:rPr>
    </w:lvl>
    <w:lvl w:ilvl="6" w:tentative="0">
      <w:start w:val="1"/>
      <w:numFmt w:val="decimal"/>
      <w:pStyle w:val="6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90A"/>
    <w:rsid w:val="000031D4"/>
    <w:rsid w:val="00010D3E"/>
    <w:rsid w:val="00011733"/>
    <w:rsid w:val="0001495B"/>
    <w:rsid w:val="000173BB"/>
    <w:rsid w:val="000215AA"/>
    <w:rsid w:val="000249B7"/>
    <w:rsid w:val="000250D8"/>
    <w:rsid w:val="00034E80"/>
    <w:rsid w:val="0003660B"/>
    <w:rsid w:val="000413D1"/>
    <w:rsid w:val="00041BEA"/>
    <w:rsid w:val="0004362D"/>
    <w:rsid w:val="00047B49"/>
    <w:rsid w:val="00052D12"/>
    <w:rsid w:val="0005796A"/>
    <w:rsid w:val="0006272B"/>
    <w:rsid w:val="00062FFC"/>
    <w:rsid w:val="00066D2F"/>
    <w:rsid w:val="0007276D"/>
    <w:rsid w:val="00074782"/>
    <w:rsid w:val="00074DDD"/>
    <w:rsid w:val="00074FB8"/>
    <w:rsid w:val="000752E0"/>
    <w:rsid w:val="00083DF8"/>
    <w:rsid w:val="00083FC0"/>
    <w:rsid w:val="00085B5A"/>
    <w:rsid w:val="00086F12"/>
    <w:rsid w:val="00090075"/>
    <w:rsid w:val="00090799"/>
    <w:rsid w:val="00091AE3"/>
    <w:rsid w:val="000920C2"/>
    <w:rsid w:val="00094615"/>
    <w:rsid w:val="000A74D0"/>
    <w:rsid w:val="000A7DCA"/>
    <w:rsid w:val="000B3633"/>
    <w:rsid w:val="000B3864"/>
    <w:rsid w:val="000B3E01"/>
    <w:rsid w:val="000B48D8"/>
    <w:rsid w:val="000B55B0"/>
    <w:rsid w:val="000C2C6E"/>
    <w:rsid w:val="000C54E4"/>
    <w:rsid w:val="000D135D"/>
    <w:rsid w:val="000D1D70"/>
    <w:rsid w:val="000D54AA"/>
    <w:rsid w:val="000D5758"/>
    <w:rsid w:val="000E3548"/>
    <w:rsid w:val="000E35E5"/>
    <w:rsid w:val="000E3736"/>
    <w:rsid w:val="000E498E"/>
    <w:rsid w:val="000E4E95"/>
    <w:rsid w:val="000E63DB"/>
    <w:rsid w:val="000E6D2B"/>
    <w:rsid w:val="000E72D0"/>
    <w:rsid w:val="000E73B3"/>
    <w:rsid w:val="000F08C7"/>
    <w:rsid w:val="000F1DF4"/>
    <w:rsid w:val="001030FB"/>
    <w:rsid w:val="0010372F"/>
    <w:rsid w:val="00103B82"/>
    <w:rsid w:val="0010449D"/>
    <w:rsid w:val="001064EE"/>
    <w:rsid w:val="001126E1"/>
    <w:rsid w:val="00112D1B"/>
    <w:rsid w:val="00116A01"/>
    <w:rsid w:val="00123DFA"/>
    <w:rsid w:val="0012632B"/>
    <w:rsid w:val="001305ED"/>
    <w:rsid w:val="00133569"/>
    <w:rsid w:val="0013562C"/>
    <w:rsid w:val="00135F54"/>
    <w:rsid w:val="0014473C"/>
    <w:rsid w:val="00145BC4"/>
    <w:rsid w:val="00150C93"/>
    <w:rsid w:val="001535F3"/>
    <w:rsid w:val="00153D51"/>
    <w:rsid w:val="0015528B"/>
    <w:rsid w:val="00155579"/>
    <w:rsid w:val="00164A68"/>
    <w:rsid w:val="00165B17"/>
    <w:rsid w:val="001709DD"/>
    <w:rsid w:val="00171F72"/>
    <w:rsid w:val="00172FEE"/>
    <w:rsid w:val="00175A47"/>
    <w:rsid w:val="00177128"/>
    <w:rsid w:val="0017722D"/>
    <w:rsid w:val="001827BE"/>
    <w:rsid w:val="001857CF"/>
    <w:rsid w:val="001862D6"/>
    <w:rsid w:val="001862F0"/>
    <w:rsid w:val="00186857"/>
    <w:rsid w:val="00191612"/>
    <w:rsid w:val="001A0BDA"/>
    <w:rsid w:val="001A11B1"/>
    <w:rsid w:val="001A1691"/>
    <w:rsid w:val="001A4239"/>
    <w:rsid w:val="001A4D61"/>
    <w:rsid w:val="001B0F63"/>
    <w:rsid w:val="001B3E5C"/>
    <w:rsid w:val="001B7AAE"/>
    <w:rsid w:val="001C171F"/>
    <w:rsid w:val="001C3F67"/>
    <w:rsid w:val="001C53FF"/>
    <w:rsid w:val="001D3934"/>
    <w:rsid w:val="001D71FF"/>
    <w:rsid w:val="001D72FE"/>
    <w:rsid w:val="001E10D3"/>
    <w:rsid w:val="001E3105"/>
    <w:rsid w:val="001F13C1"/>
    <w:rsid w:val="001F1AF1"/>
    <w:rsid w:val="001F26AE"/>
    <w:rsid w:val="001F33CD"/>
    <w:rsid w:val="001F5026"/>
    <w:rsid w:val="001F6153"/>
    <w:rsid w:val="001F72FB"/>
    <w:rsid w:val="00201C6B"/>
    <w:rsid w:val="002032DE"/>
    <w:rsid w:val="0020380D"/>
    <w:rsid w:val="00203DB0"/>
    <w:rsid w:val="0020476A"/>
    <w:rsid w:val="00214A9B"/>
    <w:rsid w:val="00217036"/>
    <w:rsid w:val="00217EF3"/>
    <w:rsid w:val="00220085"/>
    <w:rsid w:val="00221E83"/>
    <w:rsid w:val="0022369C"/>
    <w:rsid w:val="00226746"/>
    <w:rsid w:val="0023113F"/>
    <w:rsid w:val="0023495C"/>
    <w:rsid w:val="002371E1"/>
    <w:rsid w:val="00237AC8"/>
    <w:rsid w:val="002427AE"/>
    <w:rsid w:val="00242EED"/>
    <w:rsid w:val="00246D16"/>
    <w:rsid w:val="00250A44"/>
    <w:rsid w:val="00252B07"/>
    <w:rsid w:val="0025390A"/>
    <w:rsid w:val="00255201"/>
    <w:rsid w:val="00256BDB"/>
    <w:rsid w:val="00260C48"/>
    <w:rsid w:val="00264F84"/>
    <w:rsid w:val="00270C00"/>
    <w:rsid w:val="00284A71"/>
    <w:rsid w:val="00290C79"/>
    <w:rsid w:val="00292F42"/>
    <w:rsid w:val="002952AA"/>
    <w:rsid w:val="00296BB9"/>
    <w:rsid w:val="002A28A3"/>
    <w:rsid w:val="002A4B2B"/>
    <w:rsid w:val="002A55F7"/>
    <w:rsid w:val="002B219E"/>
    <w:rsid w:val="002B376D"/>
    <w:rsid w:val="002B58B4"/>
    <w:rsid w:val="002B7430"/>
    <w:rsid w:val="002C5773"/>
    <w:rsid w:val="002C7465"/>
    <w:rsid w:val="002D4F82"/>
    <w:rsid w:val="002E0669"/>
    <w:rsid w:val="002E374B"/>
    <w:rsid w:val="002F015F"/>
    <w:rsid w:val="002F2E9B"/>
    <w:rsid w:val="002F4849"/>
    <w:rsid w:val="0030120D"/>
    <w:rsid w:val="00301408"/>
    <w:rsid w:val="003115CE"/>
    <w:rsid w:val="00312567"/>
    <w:rsid w:val="00313A37"/>
    <w:rsid w:val="00313D96"/>
    <w:rsid w:val="00314AB9"/>
    <w:rsid w:val="00321332"/>
    <w:rsid w:val="0032446B"/>
    <w:rsid w:val="0032753D"/>
    <w:rsid w:val="00341FCF"/>
    <w:rsid w:val="0035146C"/>
    <w:rsid w:val="00355E21"/>
    <w:rsid w:val="00362A5F"/>
    <w:rsid w:val="00362B51"/>
    <w:rsid w:val="00363934"/>
    <w:rsid w:val="0036640C"/>
    <w:rsid w:val="00371BFE"/>
    <w:rsid w:val="00374166"/>
    <w:rsid w:val="0037598C"/>
    <w:rsid w:val="003759F6"/>
    <w:rsid w:val="00375BB2"/>
    <w:rsid w:val="00382F3F"/>
    <w:rsid w:val="00383CB9"/>
    <w:rsid w:val="003840DD"/>
    <w:rsid w:val="00386F87"/>
    <w:rsid w:val="00387F34"/>
    <w:rsid w:val="003910C8"/>
    <w:rsid w:val="00391236"/>
    <w:rsid w:val="00393C3C"/>
    <w:rsid w:val="00396872"/>
    <w:rsid w:val="00397EE7"/>
    <w:rsid w:val="003A616E"/>
    <w:rsid w:val="003A75A5"/>
    <w:rsid w:val="003B0055"/>
    <w:rsid w:val="003B19E2"/>
    <w:rsid w:val="003B51EC"/>
    <w:rsid w:val="003C2219"/>
    <w:rsid w:val="003C499B"/>
    <w:rsid w:val="003C617A"/>
    <w:rsid w:val="003C6555"/>
    <w:rsid w:val="003C73B5"/>
    <w:rsid w:val="003D5B11"/>
    <w:rsid w:val="003D707B"/>
    <w:rsid w:val="003E2BF3"/>
    <w:rsid w:val="003E2D39"/>
    <w:rsid w:val="003F0F21"/>
    <w:rsid w:val="003F3C25"/>
    <w:rsid w:val="003F4DC6"/>
    <w:rsid w:val="003F5E53"/>
    <w:rsid w:val="003F78C2"/>
    <w:rsid w:val="00401738"/>
    <w:rsid w:val="00402D9B"/>
    <w:rsid w:val="00404EB9"/>
    <w:rsid w:val="00410B33"/>
    <w:rsid w:val="004129C3"/>
    <w:rsid w:val="00413F29"/>
    <w:rsid w:val="004146D9"/>
    <w:rsid w:val="00416D71"/>
    <w:rsid w:val="004175E1"/>
    <w:rsid w:val="0042074B"/>
    <w:rsid w:val="00422352"/>
    <w:rsid w:val="00423877"/>
    <w:rsid w:val="00424384"/>
    <w:rsid w:val="00426B39"/>
    <w:rsid w:val="00426E21"/>
    <w:rsid w:val="00427BE8"/>
    <w:rsid w:val="0043110F"/>
    <w:rsid w:val="004317C6"/>
    <w:rsid w:val="00431BAC"/>
    <w:rsid w:val="00434F76"/>
    <w:rsid w:val="00436DEB"/>
    <w:rsid w:val="004454ED"/>
    <w:rsid w:val="00446964"/>
    <w:rsid w:val="00446E27"/>
    <w:rsid w:val="00455FD4"/>
    <w:rsid w:val="00456DBF"/>
    <w:rsid w:val="00460E95"/>
    <w:rsid w:val="004614ED"/>
    <w:rsid w:val="00477EE3"/>
    <w:rsid w:val="0048105B"/>
    <w:rsid w:val="00484C5D"/>
    <w:rsid w:val="00491404"/>
    <w:rsid w:val="0049414A"/>
    <w:rsid w:val="004A0628"/>
    <w:rsid w:val="004A1D72"/>
    <w:rsid w:val="004A3277"/>
    <w:rsid w:val="004A3DDE"/>
    <w:rsid w:val="004A55D5"/>
    <w:rsid w:val="004B05ED"/>
    <w:rsid w:val="004B2AA8"/>
    <w:rsid w:val="004B2C25"/>
    <w:rsid w:val="004C3927"/>
    <w:rsid w:val="004D1259"/>
    <w:rsid w:val="004D1B7A"/>
    <w:rsid w:val="004D439E"/>
    <w:rsid w:val="004D5914"/>
    <w:rsid w:val="004D6BAA"/>
    <w:rsid w:val="004E1F13"/>
    <w:rsid w:val="004F0D77"/>
    <w:rsid w:val="004F71E8"/>
    <w:rsid w:val="00501EAB"/>
    <w:rsid w:val="00503B31"/>
    <w:rsid w:val="00504C57"/>
    <w:rsid w:val="005076F1"/>
    <w:rsid w:val="00516561"/>
    <w:rsid w:val="00517043"/>
    <w:rsid w:val="00521F04"/>
    <w:rsid w:val="005241FB"/>
    <w:rsid w:val="0052614D"/>
    <w:rsid w:val="0053550E"/>
    <w:rsid w:val="00535C47"/>
    <w:rsid w:val="00545BA2"/>
    <w:rsid w:val="005476C8"/>
    <w:rsid w:val="00551430"/>
    <w:rsid w:val="00552BFE"/>
    <w:rsid w:val="00561CF6"/>
    <w:rsid w:val="00561F98"/>
    <w:rsid w:val="00562E03"/>
    <w:rsid w:val="005636AA"/>
    <w:rsid w:val="00571208"/>
    <w:rsid w:val="00571293"/>
    <w:rsid w:val="00574488"/>
    <w:rsid w:val="00580F93"/>
    <w:rsid w:val="00581151"/>
    <w:rsid w:val="005812A7"/>
    <w:rsid w:val="005833E9"/>
    <w:rsid w:val="00586911"/>
    <w:rsid w:val="00591504"/>
    <w:rsid w:val="005A1CBE"/>
    <w:rsid w:val="005A62B8"/>
    <w:rsid w:val="005A6F73"/>
    <w:rsid w:val="005B059E"/>
    <w:rsid w:val="005B1665"/>
    <w:rsid w:val="005B17CB"/>
    <w:rsid w:val="005B25B5"/>
    <w:rsid w:val="005B33CB"/>
    <w:rsid w:val="005B5C67"/>
    <w:rsid w:val="005B6034"/>
    <w:rsid w:val="005C0CFC"/>
    <w:rsid w:val="005C7FAA"/>
    <w:rsid w:val="005D4685"/>
    <w:rsid w:val="005D6A03"/>
    <w:rsid w:val="005D7060"/>
    <w:rsid w:val="005D77AD"/>
    <w:rsid w:val="005E4469"/>
    <w:rsid w:val="005E65E0"/>
    <w:rsid w:val="005E78AF"/>
    <w:rsid w:val="005F07B7"/>
    <w:rsid w:val="00600FEF"/>
    <w:rsid w:val="00601612"/>
    <w:rsid w:val="00604BAA"/>
    <w:rsid w:val="00610C88"/>
    <w:rsid w:val="00611D95"/>
    <w:rsid w:val="00615774"/>
    <w:rsid w:val="00615AD7"/>
    <w:rsid w:val="00621CFC"/>
    <w:rsid w:val="00624D88"/>
    <w:rsid w:val="006302EB"/>
    <w:rsid w:val="00635C16"/>
    <w:rsid w:val="006432CD"/>
    <w:rsid w:val="00646BFB"/>
    <w:rsid w:val="00651A07"/>
    <w:rsid w:val="006521FC"/>
    <w:rsid w:val="00660F02"/>
    <w:rsid w:val="00664033"/>
    <w:rsid w:val="0066432B"/>
    <w:rsid w:val="00667362"/>
    <w:rsid w:val="00674F27"/>
    <w:rsid w:val="006755E4"/>
    <w:rsid w:val="00681AC8"/>
    <w:rsid w:val="00681C3A"/>
    <w:rsid w:val="00682A4C"/>
    <w:rsid w:val="00682B49"/>
    <w:rsid w:val="006841B4"/>
    <w:rsid w:val="006846A4"/>
    <w:rsid w:val="00684C3D"/>
    <w:rsid w:val="00686795"/>
    <w:rsid w:val="00690751"/>
    <w:rsid w:val="006916B2"/>
    <w:rsid w:val="00694024"/>
    <w:rsid w:val="006A4859"/>
    <w:rsid w:val="006A5FF2"/>
    <w:rsid w:val="006A7818"/>
    <w:rsid w:val="006A7CD6"/>
    <w:rsid w:val="006B0B01"/>
    <w:rsid w:val="006B1AF0"/>
    <w:rsid w:val="006B2446"/>
    <w:rsid w:val="006B2576"/>
    <w:rsid w:val="006B3AE9"/>
    <w:rsid w:val="006B71C8"/>
    <w:rsid w:val="006B7F09"/>
    <w:rsid w:val="006C07D6"/>
    <w:rsid w:val="006C479F"/>
    <w:rsid w:val="006D006A"/>
    <w:rsid w:val="006D19D6"/>
    <w:rsid w:val="006D2CCA"/>
    <w:rsid w:val="006E09FF"/>
    <w:rsid w:val="006E3851"/>
    <w:rsid w:val="006E4BBC"/>
    <w:rsid w:val="006E7BA3"/>
    <w:rsid w:val="006F3949"/>
    <w:rsid w:val="006F4831"/>
    <w:rsid w:val="006F4C91"/>
    <w:rsid w:val="006F6CD4"/>
    <w:rsid w:val="007030C6"/>
    <w:rsid w:val="00703319"/>
    <w:rsid w:val="00703F67"/>
    <w:rsid w:val="007062EE"/>
    <w:rsid w:val="00707516"/>
    <w:rsid w:val="00707F8A"/>
    <w:rsid w:val="00711952"/>
    <w:rsid w:val="00713B13"/>
    <w:rsid w:val="007164CB"/>
    <w:rsid w:val="0072613B"/>
    <w:rsid w:val="00726333"/>
    <w:rsid w:val="007313BC"/>
    <w:rsid w:val="00732834"/>
    <w:rsid w:val="00734BBA"/>
    <w:rsid w:val="007351B3"/>
    <w:rsid w:val="00736679"/>
    <w:rsid w:val="00740B78"/>
    <w:rsid w:val="007427EE"/>
    <w:rsid w:val="00743C3F"/>
    <w:rsid w:val="00745A13"/>
    <w:rsid w:val="007469AC"/>
    <w:rsid w:val="007520AA"/>
    <w:rsid w:val="0075796F"/>
    <w:rsid w:val="00762234"/>
    <w:rsid w:val="007670A2"/>
    <w:rsid w:val="0076786B"/>
    <w:rsid w:val="007708B8"/>
    <w:rsid w:val="00776833"/>
    <w:rsid w:val="00777212"/>
    <w:rsid w:val="007775E9"/>
    <w:rsid w:val="00781C6B"/>
    <w:rsid w:val="007853B2"/>
    <w:rsid w:val="00786EE3"/>
    <w:rsid w:val="00791455"/>
    <w:rsid w:val="00793542"/>
    <w:rsid w:val="007960BF"/>
    <w:rsid w:val="0079618D"/>
    <w:rsid w:val="0079676D"/>
    <w:rsid w:val="00796C24"/>
    <w:rsid w:val="00797843"/>
    <w:rsid w:val="007A1C9C"/>
    <w:rsid w:val="007B2AD5"/>
    <w:rsid w:val="007B4BDE"/>
    <w:rsid w:val="007B57DB"/>
    <w:rsid w:val="007B59B9"/>
    <w:rsid w:val="007C3A5F"/>
    <w:rsid w:val="007C64B8"/>
    <w:rsid w:val="007D0B0E"/>
    <w:rsid w:val="007E03C5"/>
    <w:rsid w:val="007E0B43"/>
    <w:rsid w:val="007E29F0"/>
    <w:rsid w:val="007E4D19"/>
    <w:rsid w:val="007E57A3"/>
    <w:rsid w:val="007E6C67"/>
    <w:rsid w:val="007E6CF5"/>
    <w:rsid w:val="007F38BB"/>
    <w:rsid w:val="007F3D18"/>
    <w:rsid w:val="007F414F"/>
    <w:rsid w:val="00801474"/>
    <w:rsid w:val="00802743"/>
    <w:rsid w:val="00805D60"/>
    <w:rsid w:val="008065CC"/>
    <w:rsid w:val="008116A0"/>
    <w:rsid w:val="0081214F"/>
    <w:rsid w:val="0081282F"/>
    <w:rsid w:val="00813984"/>
    <w:rsid w:val="00814330"/>
    <w:rsid w:val="008163CE"/>
    <w:rsid w:val="008202A3"/>
    <w:rsid w:val="0082203B"/>
    <w:rsid w:val="008260CC"/>
    <w:rsid w:val="00831DA1"/>
    <w:rsid w:val="008349F7"/>
    <w:rsid w:val="00835A9E"/>
    <w:rsid w:val="00840792"/>
    <w:rsid w:val="00840A59"/>
    <w:rsid w:val="00841BFF"/>
    <w:rsid w:val="00842CEF"/>
    <w:rsid w:val="00843000"/>
    <w:rsid w:val="00843616"/>
    <w:rsid w:val="00845F3D"/>
    <w:rsid w:val="00846538"/>
    <w:rsid w:val="0085494D"/>
    <w:rsid w:val="00857756"/>
    <w:rsid w:val="008632BD"/>
    <w:rsid w:val="00867723"/>
    <w:rsid w:val="00873EDC"/>
    <w:rsid w:val="0088090A"/>
    <w:rsid w:val="008876E7"/>
    <w:rsid w:val="00892D9E"/>
    <w:rsid w:val="00894362"/>
    <w:rsid w:val="00894615"/>
    <w:rsid w:val="00895D10"/>
    <w:rsid w:val="00897D33"/>
    <w:rsid w:val="008A269A"/>
    <w:rsid w:val="008A2F70"/>
    <w:rsid w:val="008A43FA"/>
    <w:rsid w:val="008A456C"/>
    <w:rsid w:val="008A70B8"/>
    <w:rsid w:val="008A7C1C"/>
    <w:rsid w:val="008C3214"/>
    <w:rsid w:val="008C738E"/>
    <w:rsid w:val="008D4AA2"/>
    <w:rsid w:val="008D558F"/>
    <w:rsid w:val="008E05EF"/>
    <w:rsid w:val="008E3812"/>
    <w:rsid w:val="008E7EA6"/>
    <w:rsid w:val="008F2BE1"/>
    <w:rsid w:val="008F4379"/>
    <w:rsid w:val="008F6DBC"/>
    <w:rsid w:val="009014D1"/>
    <w:rsid w:val="00902323"/>
    <w:rsid w:val="00903C93"/>
    <w:rsid w:val="00911A0A"/>
    <w:rsid w:val="00914AAC"/>
    <w:rsid w:val="00914E3F"/>
    <w:rsid w:val="009152EA"/>
    <w:rsid w:val="00922BFC"/>
    <w:rsid w:val="00923DCB"/>
    <w:rsid w:val="00925428"/>
    <w:rsid w:val="00926DF0"/>
    <w:rsid w:val="009310BA"/>
    <w:rsid w:val="009334A8"/>
    <w:rsid w:val="009342BE"/>
    <w:rsid w:val="0093555A"/>
    <w:rsid w:val="00935EEA"/>
    <w:rsid w:val="00936AC8"/>
    <w:rsid w:val="00937F8B"/>
    <w:rsid w:val="00946DD7"/>
    <w:rsid w:val="00951CC8"/>
    <w:rsid w:val="00952EC6"/>
    <w:rsid w:val="0095408B"/>
    <w:rsid w:val="009540E5"/>
    <w:rsid w:val="00957D00"/>
    <w:rsid w:val="00961138"/>
    <w:rsid w:val="0096363A"/>
    <w:rsid w:val="00970AFA"/>
    <w:rsid w:val="00975D9A"/>
    <w:rsid w:val="00975FA1"/>
    <w:rsid w:val="0098147B"/>
    <w:rsid w:val="00981AFB"/>
    <w:rsid w:val="00981CBA"/>
    <w:rsid w:val="009848B6"/>
    <w:rsid w:val="009860D0"/>
    <w:rsid w:val="00986212"/>
    <w:rsid w:val="009864B5"/>
    <w:rsid w:val="009864D4"/>
    <w:rsid w:val="0099235A"/>
    <w:rsid w:val="00992C69"/>
    <w:rsid w:val="00992DD2"/>
    <w:rsid w:val="0099646B"/>
    <w:rsid w:val="00997ECB"/>
    <w:rsid w:val="009A0E5D"/>
    <w:rsid w:val="009A0F83"/>
    <w:rsid w:val="009A11A6"/>
    <w:rsid w:val="009A2DFE"/>
    <w:rsid w:val="009A62C5"/>
    <w:rsid w:val="009A7C45"/>
    <w:rsid w:val="009B13A4"/>
    <w:rsid w:val="009B169F"/>
    <w:rsid w:val="009B5BB3"/>
    <w:rsid w:val="009B72F9"/>
    <w:rsid w:val="009B75F1"/>
    <w:rsid w:val="009C0164"/>
    <w:rsid w:val="009C0DAF"/>
    <w:rsid w:val="009C1F30"/>
    <w:rsid w:val="009C2C74"/>
    <w:rsid w:val="009C6975"/>
    <w:rsid w:val="009D4A42"/>
    <w:rsid w:val="009E1D8C"/>
    <w:rsid w:val="009E4F44"/>
    <w:rsid w:val="009E6594"/>
    <w:rsid w:val="009E7AE2"/>
    <w:rsid w:val="009F4AEA"/>
    <w:rsid w:val="009F7031"/>
    <w:rsid w:val="00A02854"/>
    <w:rsid w:val="00A04AE3"/>
    <w:rsid w:val="00A07984"/>
    <w:rsid w:val="00A100C9"/>
    <w:rsid w:val="00A10DF7"/>
    <w:rsid w:val="00A11B4C"/>
    <w:rsid w:val="00A125EC"/>
    <w:rsid w:val="00A21F42"/>
    <w:rsid w:val="00A224B3"/>
    <w:rsid w:val="00A232CE"/>
    <w:rsid w:val="00A23C3F"/>
    <w:rsid w:val="00A2491D"/>
    <w:rsid w:val="00A259EE"/>
    <w:rsid w:val="00A26CA9"/>
    <w:rsid w:val="00A3078A"/>
    <w:rsid w:val="00A31BC8"/>
    <w:rsid w:val="00A35F43"/>
    <w:rsid w:val="00A365E9"/>
    <w:rsid w:val="00A41712"/>
    <w:rsid w:val="00A41D17"/>
    <w:rsid w:val="00A42535"/>
    <w:rsid w:val="00A500BB"/>
    <w:rsid w:val="00A55709"/>
    <w:rsid w:val="00A5728C"/>
    <w:rsid w:val="00A6117C"/>
    <w:rsid w:val="00A63269"/>
    <w:rsid w:val="00A634B0"/>
    <w:rsid w:val="00A67D92"/>
    <w:rsid w:val="00A7490A"/>
    <w:rsid w:val="00A750B8"/>
    <w:rsid w:val="00A82909"/>
    <w:rsid w:val="00A8315D"/>
    <w:rsid w:val="00A83A20"/>
    <w:rsid w:val="00A85CA8"/>
    <w:rsid w:val="00A87F67"/>
    <w:rsid w:val="00A94BD2"/>
    <w:rsid w:val="00AA25E3"/>
    <w:rsid w:val="00AA42BC"/>
    <w:rsid w:val="00AA430A"/>
    <w:rsid w:val="00AA4AFA"/>
    <w:rsid w:val="00AA72EC"/>
    <w:rsid w:val="00AB0A50"/>
    <w:rsid w:val="00AB3DF8"/>
    <w:rsid w:val="00AB6DD5"/>
    <w:rsid w:val="00AB78E3"/>
    <w:rsid w:val="00AC349B"/>
    <w:rsid w:val="00AC696E"/>
    <w:rsid w:val="00AD121A"/>
    <w:rsid w:val="00AD4775"/>
    <w:rsid w:val="00AD602F"/>
    <w:rsid w:val="00AD72A8"/>
    <w:rsid w:val="00AE0F1E"/>
    <w:rsid w:val="00AE11D5"/>
    <w:rsid w:val="00AE1508"/>
    <w:rsid w:val="00AE1583"/>
    <w:rsid w:val="00AE32C6"/>
    <w:rsid w:val="00AE5725"/>
    <w:rsid w:val="00AE5C32"/>
    <w:rsid w:val="00AE641F"/>
    <w:rsid w:val="00AF09B2"/>
    <w:rsid w:val="00AF52C4"/>
    <w:rsid w:val="00B018DF"/>
    <w:rsid w:val="00B03E72"/>
    <w:rsid w:val="00B069EA"/>
    <w:rsid w:val="00B07A5E"/>
    <w:rsid w:val="00B10215"/>
    <w:rsid w:val="00B260EF"/>
    <w:rsid w:val="00B26EAA"/>
    <w:rsid w:val="00B333F1"/>
    <w:rsid w:val="00B357F6"/>
    <w:rsid w:val="00B41CF3"/>
    <w:rsid w:val="00B51D59"/>
    <w:rsid w:val="00B528FA"/>
    <w:rsid w:val="00B52970"/>
    <w:rsid w:val="00B56829"/>
    <w:rsid w:val="00B621A0"/>
    <w:rsid w:val="00B63D8B"/>
    <w:rsid w:val="00B65D7B"/>
    <w:rsid w:val="00B6787D"/>
    <w:rsid w:val="00B67FD7"/>
    <w:rsid w:val="00B70EB1"/>
    <w:rsid w:val="00B7444C"/>
    <w:rsid w:val="00B77CFD"/>
    <w:rsid w:val="00B83C7B"/>
    <w:rsid w:val="00B84F80"/>
    <w:rsid w:val="00B85731"/>
    <w:rsid w:val="00B903EE"/>
    <w:rsid w:val="00B90855"/>
    <w:rsid w:val="00B9406A"/>
    <w:rsid w:val="00B97FEE"/>
    <w:rsid w:val="00BA0843"/>
    <w:rsid w:val="00BA1013"/>
    <w:rsid w:val="00BA1A22"/>
    <w:rsid w:val="00BB2287"/>
    <w:rsid w:val="00BB7922"/>
    <w:rsid w:val="00BC00C0"/>
    <w:rsid w:val="00BC3659"/>
    <w:rsid w:val="00BC3C62"/>
    <w:rsid w:val="00BC4310"/>
    <w:rsid w:val="00BC4C11"/>
    <w:rsid w:val="00BC4FBE"/>
    <w:rsid w:val="00BC56E2"/>
    <w:rsid w:val="00BC6277"/>
    <w:rsid w:val="00BD2BA5"/>
    <w:rsid w:val="00BD5F81"/>
    <w:rsid w:val="00BD7447"/>
    <w:rsid w:val="00BE0434"/>
    <w:rsid w:val="00BE2259"/>
    <w:rsid w:val="00BE36DD"/>
    <w:rsid w:val="00BE3A60"/>
    <w:rsid w:val="00BE3B24"/>
    <w:rsid w:val="00BE3C95"/>
    <w:rsid w:val="00BE54CE"/>
    <w:rsid w:val="00BF0596"/>
    <w:rsid w:val="00BF414B"/>
    <w:rsid w:val="00BF5782"/>
    <w:rsid w:val="00BF7635"/>
    <w:rsid w:val="00BF7809"/>
    <w:rsid w:val="00C03A80"/>
    <w:rsid w:val="00C04909"/>
    <w:rsid w:val="00C04AD7"/>
    <w:rsid w:val="00C06EED"/>
    <w:rsid w:val="00C076B9"/>
    <w:rsid w:val="00C11928"/>
    <w:rsid w:val="00C1476A"/>
    <w:rsid w:val="00C15004"/>
    <w:rsid w:val="00C20804"/>
    <w:rsid w:val="00C23E02"/>
    <w:rsid w:val="00C2673E"/>
    <w:rsid w:val="00C26DB9"/>
    <w:rsid w:val="00C368AF"/>
    <w:rsid w:val="00C408D1"/>
    <w:rsid w:val="00C40BBA"/>
    <w:rsid w:val="00C4119B"/>
    <w:rsid w:val="00C415B0"/>
    <w:rsid w:val="00C442F0"/>
    <w:rsid w:val="00C45381"/>
    <w:rsid w:val="00C53837"/>
    <w:rsid w:val="00C541A5"/>
    <w:rsid w:val="00C560BC"/>
    <w:rsid w:val="00C57457"/>
    <w:rsid w:val="00C616CB"/>
    <w:rsid w:val="00C620AF"/>
    <w:rsid w:val="00C620CC"/>
    <w:rsid w:val="00C6340E"/>
    <w:rsid w:val="00C6357B"/>
    <w:rsid w:val="00C63DAB"/>
    <w:rsid w:val="00C64169"/>
    <w:rsid w:val="00C66FC7"/>
    <w:rsid w:val="00C77603"/>
    <w:rsid w:val="00C77695"/>
    <w:rsid w:val="00C80F91"/>
    <w:rsid w:val="00C8249A"/>
    <w:rsid w:val="00C82720"/>
    <w:rsid w:val="00C84D9A"/>
    <w:rsid w:val="00C8738B"/>
    <w:rsid w:val="00C90619"/>
    <w:rsid w:val="00C91335"/>
    <w:rsid w:val="00C970BE"/>
    <w:rsid w:val="00CA06DB"/>
    <w:rsid w:val="00CA0F2B"/>
    <w:rsid w:val="00CA303A"/>
    <w:rsid w:val="00CB2A11"/>
    <w:rsid w:val="00CB4531"/>
    <w:rsid w:val="00CB71C6"/>
    <w:rsid w:val="00CC2CB4"/>
    <w:rsid w:val="00CC6CFE"/>
    <w:rsid w:val="00CC6FAB"/>
    <w:rsid w:val="00CD5B55"/>
    <w:rsid w:val="00CD659B"/>
    <w:rsid w:val="00CD6FF3"/>
    <w:rsid w:val="00CE3126"/>
    <w:rsid w:val="00CE4949"/>
    <w:rsid w:val="00CE575A"/>
    <w:rsid w:val="00CF3ADD"/>
    <w:rsid w:val="00CF4662"/>
    <w:rsid w:val="00D02461"/>
    <w:rsid w:val="00D05FC3"/>
    <w:rsid w:val="00D109A3"/>
    <w:rsid w:val="00D10B35"/>
    <w:rsid w:val="00D1487C"/>
    <w:rsid w:val="00D1645D"/>
    <w:rsid w:val="00D17DD8"/>
    <w:rsid w:val="00D23309"/>
    <w:rsid w:val="00D23DA6"/>
    <w:rsid w:val="00D245DC"/>
    <w:rsid w:val="00D24E7C"/>
    <w:rsid w:val="00D25306"/>
    <w:rsid w:val="00D25A28"/>
    <w:rsid w:val="00D41F2E"/>
    <w:rsid w:val="00D4228D"/>
    <w:rsid w:val="00D4284C"/>
    <w:rsid w:val="00D552B7"/>
    <w:rsid w:val="00D559DB"/>
    <w:rsid w:val="00D56FFE"/>
    <w:rsid w:val="00D60A78"/>
    <w:rsid w:val="00D6348C"/>
    <w:rsid w:val="00D649E2"/>
    <w:rsid w:val="00D74C58"/>
    <w:rsid w:val="00D82773"/>
    <w:rsid w:val="00D955AC"/>
    <w:rsid w:val="00D97B4F"/>
    <w:rsid w:val="00DA59F0"/>
    <w:rsid w:val="00DA5B1B"/>
    <w:rsid w:val="00DA6083"/>
    <w:rsid w:val="00DB4AE7"/>
    <w:rsid w:val="00DC7993"/>
    <w:rsid w:val="00DD0247"/>
    <w:rsid w:val="00DD02EF"/>
    <w:rsid w:val="00DD1016"/>
    <w:rsid w:val="00DD10C3"/>
    <w:rsid w:val="00DD1C42"/>
    <w:rsid w:val="00DD311C"/>
    <w:rsid w:val="00DD315F"/>
    <w:rsid w:val="00DD7F58"/>
    <w:rsid w:val="00DE1423"/>
    <w:rsid w:val="00DE1954"/>
    <w:rsid w:val="00DE1ABF"/>
    <w:rsid w:val="00DE4599"/>
    <w:rsid w:val="00DF21A8"/>
    <w:rsid w:val="00DF31AF"/>
    <w:rsid w:val="00DF6157"/>
    <w:rsid w:val="00DF77F4"/>
    <w:rsid w:val="00E00498"/>
    <w:rsid w:val="00E00CD4"/>
    <w:rsid w:val="00E01C6F"/>
    <w:rsid w:val="00E03935"/>
    <w:rsid w:val="00E04A1B"/>
    <w:rsid w:val="00E06092"/>
    <w:rsid w:val="00E07A4F"/>
    <w:rsid w:val="00E1253E"/>
    <w:rsid w:val="00E1446C"/>
    <w:rsid w:val="00E1481E"/>
    <w:rsid w:val="00E16150"/>
    <w:rsid w:val="00E20DAA"/>
    <w:rsid w:val="00E23735"/>
    <w:rsid w:val="00E239D1"/>
    <w:rsid w:val="00E24AE3"/>
    <w:rsid w:val="00E24E01"/>
    <w:rsid w:val="00E250FE"/>
    <w:rsid w:val="00E25FE4"/>
    <w:rsid w:val="00E3078D"/>
    <w:rsid w:val="00E315ED"/>
    <w:rsid w:val="00E31686"/>
    <w:rsid w:val="00E349BE"/>
    <w:rsid w:val="00E34E11"/>
    <w:rsid w:val="00E424A4"/>
    <w:rsid w:val="00E42767"/>
    <w:rsid w:val="00E428E3"/>
    <w:rsid w:val="00E435E4"/>
    <w:rsid w:val="00E43844"/>
    <w:rsid w:val="00E47ACE"/>
    <w:rsid w:val="00E53DE9"/>
    <w:rsid w:val="00E56278"/>
    <w:rsid w:val="00E60E00"/>
    <w:rsid w:val="00E65C84"/>
    <w:rsid w:val="00E65ECC"/>
    <w:rsid w:val="00E67AA2"/>
    <w:rsid w:val="00E72409"/>
    <w:rsid w:val="00E8185F"/>
    <w:rsid w:val="00E821A7"/>
    <w:rsid w:val="00E846C5"/>
    <w:rsid w:val="00E87719"/>
    <w:rsid w:val="00E9074A"/>
    <w:rsid w:val="00E90B08"/>
    <w:rsid w:val="00E92BA2"/>
    <w:rsid w:val="00E934AA"/>
    <w:rsid w:val="00E97740"/>
    <w:rsid w:val="00EA238A"/>
    <w:rsid w:val="00EB0922"/>
    <w:rsid w:val="00EB2163"/>
    <w:rsid w:val="00EB2769"/>
    <w:rsid w:val="00EB480C"/>
    <w:rsid w:val="00EB6428"/>
    <w:rsid w:val="00EC054C"/>
    <w:rsid w:val="00EC1CB9"/>
    <w:rsid w:val="00EC641E"/>
    <w:rsid w:val="00EC70A3"/>
    <w:rsid w:val="00ED05FF"/>
    <w:rsid w:val="00ED1092"/>
    <w:rsid w:val="00ED3C4A"/>
    <w:rsid w:val="00ED4C05"/>
    <w:rsid w:val="00ED5663"/>
    <w:rsid w:val="00ED6B05"/>
    <w:rsid w:val="00EE1981"/>
    <w:rsid w:val="00EE2D69"/>
    <w:rsid w:val="00EE2F74"/>
    <w:rsid w:val="00EE3923"/>
    <w:rsid w:val="00EF3273"/>
    <w:rsid w:val="00EF3D4C"/>
    <w:rsid w:val="00F00141"/>
    <w:rsid w:val="00F146F8"/>
    <w:rsid w:val="00F151D8"/>
    <w:rsid w:val="00F15E6F"/>
    <w:rsid w:val="00F23CF6"/>
    <w:rsid w:val="00F24258"/>
    <w:rsid w:val="00F2565E"/>
    <w:rsid w:val="00F266C6"/>
    <w:rsid w:val="00F2725E"/>
    <w:rsid w:val="00F30AFF"/>
    <w:rsid w:val="00F31DAE"/>
    <w:rsid w:val="00F3711E"/>
    <w:rsid w:val="00F50653"/>
    <w:rsid w:val="00F533CE"/>
    <w:rsid w:val="00F542F6"/>
    <w:rsid w:val="00F54F74"/>
    <w:rsid w:val="00F55AD2"/>
    <w:rsid w:val="00F574C2"/>
    <w:rsid w:val="00F602AC"/>
    <w:rsid w:val="00F620DF"/>
    <w:rsid w:val="00F62381"/>
    <w:rsid w:val="00F62D67"/>
    <w:rsid w:val="00F64F9A"/>
    <w:rsid w:val="00F705B0"/>
    <w:rsid w:val="00F75E80"/>
    <w:rsid w:val="00F777FE"/>
    <w:rsid w:val="00F80D15"/>
    <w:rsid w:val="00F870CC"/>
    <w:rsid w:val="00F92C6D"/>
    <w:rsid w:val="00F96A66"/>
    <w:rsid w:val="00FA0629"/>
    <w:rsid w:val="00FA1586"/>
    <w:rsid w:val="00FA556B"/>
    <w:rsid w:val="00FA5C42"/>
    <w:rsid w:val="00FB0D68"/>
    <w:rsid w:val="00FB2922"/>
    <w:rsid w:val="00FB479D"/>
    <w:rsid w:val="00FC0187"/>
    <w:rsid w:val="00FD18A1"/>
    <w:rsid w:val="00FD29C2"/>
    <w:rsid w:val="00FD4545"/>
    <w:rsid w:val="00FD4661"/>
    <w:rsid w:val="00FD596A"/>
    <w:rsid w:val="00FE635D"/>
    <w:rsid w:val="00FE7866"/>
    <w:rsid w:val="00FF27F8"/>
    <w:rsid w:val="00FF4421"/>
    <w:rsid w:val="00FF5DD3"/>
    <w:rsid w:val="00FF7C77"/>
    <w:rsid w:val="031B02E3"/>
    <w:rsid w:val="0B8633E2"/>
    <w:rsid w:val="0CCE1478"/>
    <w:rsid w:val="0F4457EE"/>
    <w:rsid w:val="12D316BB"/>
    <w:rsid w:val="16267D55"/>
    <w:rsid w:val="191D4B6B"/>
    <w:rsid w:val="19C406C0"/>
    <w:rsid w:val="1D354131"/>
    <w:rsid w:val="211146CB"/>
    <w:rsid w:val="23270071"/>
    <w:rsid w:val="28F306E4"/>
    <w:rsid w:val="2A611EA0"/>
    <w:rsid w:val="2E527CD7"/>
    <w:rsid w:val="2F7075FF"/>
    <w:rsid w:val="342731F2"/>
    <w:rsid w:val="35653C5C"/>
    <w:rsid w:val="3725003D"/>
    <w:rsid w:val="3A1B3120"/>
    <w:rsid w:val="3B1B2837"/>
    <w:rsid w:val="3E96199B"/>
    <w:rsid w:val="3F4E3BD5"/>
    <w:rsid w:val="44AA2ED6"/>
    <w:rsid w:val="476772D1"/>
    <w:rsid w:val="48237E8A"/>
    <w:rsid w:val="4A9D1E6E"/>
    <w:rsid w:val="557550F0"/>
    <w:rsid w:val="5A8E37B2"/>
    <w:rsid w:val="5C337866"/>
    <w:rsid w:val="5D383010"/>
    <w:rsid w:val="648F321F"/>
    <w:rsid w:val="687309E1"/>
    <w:rsid w:val="6A520B03"/>
    <w:rsid w:val="6B2036AC"/>
    <w:rsid w:val="6C3459FC"/>
    <w:rsid w:val="70646219"/>
    <w:rsid w:val="714025F2"/>
    <w:rsid w:val="71527D6A"/>
    <w:rsid w:val="770819FF"/>
    <w:rsid w:val="792F070F"/>
    <w:rsid w:val="7993773F"/>
    <w:rsid w:val="7BEC255D"/>
    <w:rsid w:val="7DE972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71"/>
    <w:qFormat/>
    <w:uiPriority w:val="0"/>
    <w:pPr>
      <w:keepNext/>
      <w:keepLines/>
      <w:spacing w:before="120" w:after="120" w:line="415" w:lineRule="auto"/>
      <w:outlineLvl w:val="2"/>
    </w:pPr>
    <w:rPr>
      <w:rFonts w:ascii="Times New Roman" w:hAnsi="Times New Roman" w:cs="Times New Roman"/>
      <w:b/>
      <w:sz w:val="28"/>
      <w:szCs w:val="20"/>
    </w:rPr>
  </w:style>
  <w:style w:type="paragraph" w:styleId="5">
    <w:name w:val="heading 4"/>
    <w:basedOn w:val="1"/>
    <w:next w:val="1"/>
    <w:link w:val="86"/>
    <w:semiHidden/>
    <w:unhideWhenUsed/>
    <w:qFormat/>
    <w:uiPriority w:val="9"/>
    <w:pPr>
      <w:keepNext/>
      <w:keepLines/>
      <w:widowControl w:val="0"/>
      <w:spacing w:before="280" w:after="290" w:line="376" w:lineRule="auto"/>
      <w:jc w:val="both"/>
      <w:outlineLvl w:val="3"/>
    </w:pPr>
    <w:rPr>
      <w:rFonts w:ascii="等线 Light" w:hAnsi="等线 Light" w:eastAsia="等线 Light" w:cs="Times New Roman"/>
      <w:b/>
      <w:bCs/>
      <w:kern w:val="2"/>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paragraph" w:styleId="6">
    <w:name w:val="toc 7"/>
    <w:basedOn w:val="1"/>
    <w:next w:val="1"/>
    <w:autoRedefine/>
    <w:unhideWhenUsed/>
    <w:qFormat/>
    <w:uiPriority w:val="39"/>
    <w:pPr>
      <w:widowControl w:val="0"/>
      <w:ind w:left="2520" w:leftChars="1200"/>
      <w:jc w:val="both"/>
    </w:pPr>
    <w:rPr>
      <w:rFonts w:asciiTheme="minorHAnsi" w:hAnsiTheme="minorHAnsi" w:eastAsiaTheme="minorEastAsia" w:cstheme="minorBidi"/>
      <w:kern w:val="2"/>
      <w:sz w:val="21"/>
      <w:szCs w:val="22"/>
    </w:rPr>
  </w:style>
  <w:style w:type="paragraph" w:styleId="7">
    <w:name w:val="Normal Indent"/>
    <w:basedOn w:val="1"/>
    <w:qFormat/>
    <w:uiPriority w:val="0"/>
    <w:pPr>
      <w:ind w:firstLine="420"/>
    </w:pPr>
    <w:rPr>
      <w:rFonts w:ascii="Times New Roman" w:hAnsi="Times New Roman" w:cs="Times New Roman"/>
      <w:szCs w:val="20"/>
    </w:rPr>
  </w:style>
  <w:style w:type="paragraph" w:styleId="8">
    <w:name w:val="caption"/>
    <w:basedOn w:val="1"/>
    <w:next w:val="1"/>
    <w:qFormat/>
    <w:uiPriority w:val="0"/>
    <w:rPr>
      <w:rFonts w:ascii="Cambria" w:hAnsi="Cambria" w:eastAsia="黑体" w:cs="Times New Roman"/>
      <w:sz w:val="20"/>
      <w:szCs w:val="20"/>
    </w:rPr>
  </w:style>
  <w:style w:type="paragraph" w:styleId="9">
    <w:name w:val="annotation text"/>
    <w:basedOn w:val="1"/>
    <w:link w:val="49"/>
    <w:unhideWhenUsed/>
    <w:qFormat/>
    <w:uiPriority w:val="0"/>
  </w:style>
  <w:style w:type="paragraph" w:styleId="10">
    <w:name w:val="Body Text"/>
    <w:basedOn w:val="1"/>
    <w:link w:val="119"/>
    <w:qFormat/>
    <w:uiPriority w:val="0"/>
    <w:pPr>
      <w:widowControl w:val="0"/>
      <w:jc w:val="center"/>
    </w:pPr>
    <w:rPr>
      <w:rFonts w:ascii="Times New Roman" w:hAnsi="Times New Roman" w:cs="Times New Roman"/>
      <w:b/>
      <w:kern w:val="2"/>
      <w:sz w:val="48"/>
      <w:szCs w:val="30"/>
    </w:rPr>
  </w:style>
  <w:style w:type="paragraph" w:styleId="11">
    <w:name w:val="toc 5"/>
    <w:basedOn w:val="1"/>
    <w:next w:val="1"/>
    <w:autoRedefine/>
    <w:unhideWhenUsed/>
    <w:uiPriority w:val="39"/>
    <w:pPr>
      <w:widowControl w:val="0"/>
      <w:ind w:left="1680" w:leftChars="800"/>
      <w:jc w:val="both"/>
    </w:pPr>
    <w:rPr>
      <w:rFonts w:asciiTheme="minorHAnsi" w:hAnsiTheme="minorHAnsi" w:eastAsiaTheme="minorEastAsia" w:cstheme="minorBidi"/>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74"/>
    <w:qFormat/>
    <w:uiPriority w:val="0"/>
    <w:rPr>
      <w:rFonts w:hAnsi="Courier New" w:cs="Times New Roman"/>
      <w:szCs w:val="20"/>
    </w:rPr>
  </w:style>
  <w:style w:type="paragraph" w:styleId="14">
    <w:name w:val="toc 8"/>
    <w:basedOn w:val="1"/>
    <w:next w:val="1"/>
    <w:autoRedefine/>
    <w:unhideWhenUsed/>
    <w:qFormat/>
    <w:uiPriority w:val="39"/>
    <w:pPr>
      <w:widowControl w:val="0"/>
      <w:ind w:left="2940" w:leftChars="1400"/>
      <w:jc w:val="both"/>
    </w:pPr>
    <w:rPr>
      <w:rFonts w:asciiTheme="minorHAnsi" w:hAnsiTheme="minorHAnsi" w:eastAsiaTheme="minorEastAsia" w:cstheme="minorBidi"/>
      <w:kern w:val="2"/>
      <w:sz w:val="21"/>
      <w:szCs w:val="22"/>
    </w:rPr>
  </w:style>
  <w:style w:type="paragraph" w:styleId="15">
    <w:name w:val="Date"/>
    <w:basedOn w:val="1"/>
    <w:next w:val="1"/>
    <w:link w:val="54"/>
    <w:semiHidden/>
    <w:unhideWhenUsed/>
    <w:qFormat/>
    <w:uiPriority w:val="99"/>
    <w:pPr>
      <w:ind w:left="100" w:leftChars="2500"/>
    </w:pPr>
  </w:style>
  <w:style w:type="paragraph" w:styleId="16">
    <w:name w:val="Balloon Text"/>
    <w:basedOn w:val="1"/>
    <w:link w:val="51"/>
    <w:unhideWhenUsed/>
    <w:qFormat/>
    <w:uiPriority w:val="0"/>
    <w:rPr>
      <w:sz w:val="18"/>
      <w:szCs w:val="18"/>
    </w:rPr>
  </w:style>
  <w:style w:type="paragraph" w:styleId="17">
    <w:name w:val="footer"/>
    <w:basedOn w:val="1"/>
    <w:link w:val="53"/>
    <w:unhideWhenUsed/>
    <w:qFormat/>
    <w:uiPriority w:val="99"/>
    <w:pPr>
      <w:tabs>
        <w:tab w:val="center" w:pos="4153"/>
        <w:tab w:val="right" w:pos="8306"/>
      </w:tabs>
      <w:snapToGrid w:val="0"/>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autoRedefine/>
    <w:unhideWhenUsed/>
    <w:qFormat/>
    <w:uiPriority w:val="39"/>
    <w:pPr>
      <w:widowControl w:val="0"/>
      <w:ind w:left="1260" w:leftChars="600"/>
      <w:jc w:val="both"/>
    </w:pPr>
    <w:rPr>
      <w:rFonts w:asciiTheme="minorHAnsi" w:hAnsiTheme="minorHAnsi" w:eastAsiaTheme="minorEastAsia" w:cstheme="minorBidi"/>
      <w:kern w:val="2"/>
      <w:sz w:val="21"/>
      <w:szCs w:val="22"/>
    </w:rPr>
  </w:style>
  <w:style w:type="paragraph" w:styleId="21">
    <w:name w:val="toc 6"/>
    <w:basedOn w:val="1"/>
    <w:next w:val="1"/>
    <w:autoRedefine/>
    <w:unhideWhenUsed/>
    <w:qFormat/>
    <w:uiPriority w:val="39"/>
    <w:pPr>
      <w:widowControl w:val="0"/>
      <w:ind w:left="2100" w:leftChars="1000"/>
      <w:jc w:val="both"/>
    </w:pPr>
    <w:rPr>
      <w:rFonts w:asciiTheme="minorHAnsi" w:hAnsiTheme="minorHAnsi" w:eastAsiaTheme="minorEastAsia" w:cstheme="minorBidi"/>
      <w:kern w:val="2"/>
      <w:sz w:val="21"/>
      <w:szCs w:val="22"/>
    </w:rPr>
  </w:style>
  <w:style w:type="paragraph" w:styleId="22">
    <w:name w:val="toc 2"/>
    <w:basedOn w:val="1"/>
    <w:next w:val="1"/>
    <w:unhideWhenUsed/>
    <w:qFormat/>
    <w:uiPriority w:val="39"/>
    <w:pPr>
      <w:ind w:left="420" w:leftChars="200"/>
    </w:pPr>
  </w:style>
  <w:style w:type="paragraph" w:styleId="23">
    <w:name w:val="toc 9"/>
    <w:basedOn w:val="1"/>
    <w:next w:val="1"/>
    <w:autoRedefine/>
    <w:unhideWhenUsed/>
    <w:qFormat/>
    <w:uiPriority w:val="39"/>
    <w:pPr>
      <w:widowControl w:val="0"/>
      <w:ind w:left="3360" w:leftChars="1600"/>
      <w:jc w:val="both"/>
    </w:pPr>
    <w:rPr>
      <w:rFonts w:asciiTheme="minorHAnsi" w:hAnsiTheme="minorHAnsi" w:eastAsiaTheme="minorEastAsia" w:cstheme="minorBidi"/>
      <w:kern w:val="2"/>
      <w:sz w:val="21"/>
      <w:szCs w:val="22"/>
    </w:rPr>
  </w:style>
  <w:style w:type="paragraph" w:styleId="24">
    <w:name w:val="HTML Preformatted"/>
    <w:basedOn w:val="1"/>
    <w:link w:val="73"/>
    <w:qFormat/>
    <w:uiPriority w:val="0"/>
    <w:rPr>
      <w:rFonts w:ascii="Courier New" w:hAnsi="Courier New" w:cs="Courier New"/>
      <w:sz w:val="20"/>
      <w:szCs w:val="20"/>
    </w:rPr>
  </w:style>
  <w:style w:type="paragraph" w:styleId="25">
    <w:name w:val="Normal (Web)"/>
    <w:basedOn w:val="1"/>
    <w:semiHidden/>
    <w:unhideWhenUsed/>
    <w:qFormat/>
    <w:uiPriority w:val="99"/>
    <w:pPr>
      <w:spacing w:before="100" w:beforeAutospacing="1" w:after="100" w:afterAutospacing="1"/>
    </w:pPr>
  </w:style>
  <w:style w:type="paragraph" w:styleId="26">
    <w:name w:val="annotation subject"/>
    <w:basedOn w:val="9"/>
    <w:next w:val="9"/>
    <w:link w:val="50"/>
    <w:unhideWhenUsed/>
    <w:qFormat/>
    <w:uiPriority w:val="0"/>
    <w:rPr>
      <w:b/>
      <w:bCs/>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basedOn w:val="29"/>
    <w:qFormat/>
    <w:uiPriority w:val="0"/>
  </w:style>
  <w:style w:type="character" w:styleId="32">
    <w:name w:val="Hyperlink"/>
    <w:basedOn w:val="29"/>
    <w:unhideWhenUsed/>
    <w:qFormat/>
    <w:uiPriority w:val="99"/>
    <w:rPr>
      <w:color w:val="0563C1" w:themeColor="hyperlink"/>
      <w:u w:val="single"/>
      <w14:textFill>
        <w14:solidFill>
          <w14:schemeClr w14:val="hlink"/>
        </w14:solidFill>
      </w14:textFill>
    </w:rPr>
  </w:style>
  <w:style w:type="character" w:styleId="33">
    <w:name w:val="HTML Code"/>
    <w:qFormat/>
    <w:uiPriority w:val="0"/>
    <w:rPr>
      <w:rFonts w:ascii="Courier New" w:hAnsi="Courier New"/>
      <w:sz w:val="20"/>
      <w:szCs w:val="20"/>
    </w:rPr>
  </w:style>
  <w:style w:type="character" w:styleId="34">
    <w:name w:val="annotation reference"/>
    <w:basedOn w:val="29"/>
    <w:unhideWhenUsed/>
    <w:qFormat/>
    <w:uiPriority w:val="0"/>
    <w:rPr>
      <w:sz w:val="21"/>
      <w:szCs w:val="21"/>
    </w:rPr>
  </w:style>
  <w:style w:type="paragraph" w:customStyle="1" w:styleId="35">
    <w:name w:val="正文1"/>
    <w:basedOn w:val="1"/>
    <w:link w:val="36"/>
    <w:qFormat/>
    <w:uiPriority w:val="0"/>
    <w:pPr>
      <w:spacing w:line="360" w:lineRule="auto"/>
      <w:ind w:firstLine="420"/>
    </w:pPr>
    <w:rPr>
      <w:rFonts w:ascii="Times New Roman" w:hAnsi="Times New Roman"/>
    </w:rPr>
  </w:style>
  <w:style w:type="character" w:customStyle="1" w:styleId="36">
    <w:name w:val="正文1 字符"/>
    <w:basedOn w:val="29"/>
    <w:link w:val="35"/>
    <w:qFormat/>
    <w:uiPriority w:val="0"/>
    <w:rPr>
      <w:rFonts w:ascii="Times New Roman" w:hAnsi="Times New Roman" w:eastAsia="宋体"/>
      <w:sz w:val="24"/>
      <w:szCs w:val="24"/>
    </w:rPr>
  </w:style>
  <w:style w:type="paragraph" w:customStyle="1" w:styleId="37">
    <w:name w:val="B2"/>
    <w:basedOn w:val="3"/>
    <w:link w:val="39"/>
    <w:qFormat/>
    <w:uiPriority w:val="0"/>
    <w:pPr>
      <w:spacing w:beforeLines="50" w:after="0" w:line="360" w:lineRule="auto"/>
      <w:ind w:left="562"/>
    </w:pPr>
    <w:rPr>
      <w:rFonts w:ascii="Times New Roman" w:hAnsi="Times New Roman" w:eastAsia="宋体" w:cs="Times New Roman"/>
      <w:sz w:val="28"/>
      <w:szCs w:val="24"/>
    </w:rPr>
  </w:style>
  <w:style w:type="paragraph" w:customStyle="1" w:styleId="38">
    <w:name w:val="A1"/>
    <w:basedOn w:val="2"/>
    <w:link w:val="41"/>
    <w:qFormat/>
    <w:uiPriority w:val="0"/>
    <w:pPr>
      <w:keepNext w:val="0"/>
      <w:tabs>
        <w:tab w:val="left" w:pos="425"/>
      </w:tabs>
      <w:spacing w:beforeLines="50" w:after="0" w:line="360" w:lineRule="auto"/>
    </w:pPr>
    <w:rPr>
      <w:rFonts w:ascii="Times New Roman" w:hAnsi="Times New Roman" w:eastAsia="黑体" w:cs="Times New Roman"/>
      <w:sz w:val="32"/>
      <w:szCs w:val="32"/>
    </w:rPr>
  </w:style>
  <w:style w:type="character" w:customStyle="1" w:styleId="39">
    <w:name w:val="B2 字符"/>
    <w:basedOn w:val="40"/>
    <w:link w:val="37"/>
    <w:qFormat/>
    <w:uiPriority w:val="0"/>
    <w:rPr>
      <w:rFonts w:ascii="Times New Roman" w:hAnsi="Times New Roman" w:eastAsia="宋体" w:cs="Times New Roman"/>
      <w:sz w:val="28"/>
      <w:szCs w:val="24"/>
    </w:rPr>
  </w:style>
  <w:style w:type="character" w:customStyle="1" w:styleId="40">
    <w:name w:val="标题 2 字符"/>
    <w:basedOn w:val="29"/>
    <w:link w:val="3"/>
    <w:qFormat/>
    <w:uiPriority w:val="0"/>
    <w:rPr>
      <w:rFonts w:asciiTheme="majorHAnsi" w:hAnsiTheme="majorHAnsi" w:eastAsiaTheme="majorEastAsia" w:cstheme="majorBidi"/>
      <w:b/>
      <w:bCs/>
      <w:sz w:val="32"/>
      <w:szCs w:val="32"/>
    </w:rPr>
  </w:style>
  <w:style w:type="character" w:customStyle="1" w:styleId="41">
    <w:name w:val="A1 字符"/>
    <w:basedOn w:val="42"/>
    <w:link w:val="38"/>
    <w:qFormat/>
    <w:uiPriority w:val="0"/>
    <w:rPr>
      <w:rFonts w:ascii="Times New Roman" w:hAnsi="Times New Roman" w:eastAsia="黑体" w:cs="Times New Roman"/>
      <w:kern w:val="44"/>
      <w:sz w:val="32"/>
      <w:szCs w:val="32"/>
    </w:rPr>
  </w:style>
  <w:style w:type="character" w:customStyle="1" w:styleId="42">
    <w:name w:val="标题 1 字符"/>
    <w:basedOn w:val="29"/>
    <w:link w:val="2"/>
    <w:qFormat/>
    <w:uiPriority w:val="9"/>
    <w:rPr>
      <w:b/>
      <w:bCs/>
      <w:kern w:val="44"/>
      <w:sz w:val="44"/>
      <w:szCs w:val="44"/>
    </w:rPr>
  </w:style>
  <w:style w:type="paragraph" w:customStyle="1" w:styleId="43">
    <w:name w:val="C3"/>
    <w:basedOn w:val="1"/>
    <w:link w:val="45"/>
    <w:qFormat/>
    <w:uiPriority w:val="0"/>
    <w:pPr>
      <w:spacing w:line="360" w:lineRule="auto"/>
      <w:ind w:firstLine="200" w:firstLineChars="200"/>
      <w:outlineLvl w:val="2"/>
    </w:pPr>
    <w:rPr>
      <w:rFonts w:ascii="Times New Roman" w:hAnsi="Times New Roman" w:eastAsia="仿宋_GB2312"/>
      <w:b/>
    </w:rPr>
  </w:style>
  <w:style w:type="paragraph" w:customStyle="1" w:styleId="44">
    <w:name w:val="D4"/>
    <w:basedOn w:val="1"/>
    <w:link w:val="46"/>
    <w:qFormat/>
    <w:uiPriority w:val="0"/>
    <w:pPr>
      <w:spacing w:line="360" w:lineRule="auto"/>
      <w:ind w:firstLine="200" w:firstLineChars="200"/>
      <w:outlineLvl w:val="3"/>
    </w:pPr>
    <w:rPr>
      <w:rFonts w:ascii="Times New Roman" w:hAnsi="Times New Roman" w:eastAsia="仿宋_GB2312"/>
    </w:rPr>
  </w:style>
  <w:style w:type="character" w:customStyle="1" w:styleId="45">
    <w:name w:val="C3 字符"/>
    <w:basedOn w:val="29"/>
    <w:link w:val="43"/>
    <w:qFormat/>
    <w:uiPriority w:val="0"/>
    <w:rPr>
      <w:rFonts w:ascii="Times New Roman" w:hAnsi="Times New Roman" w:eastAsia="仿宋_GB2312"/>
      <w:b/>
      <w:sz w:val="24"/>
      <w:szCs w:val="24"/>
    </w:rPr>
  </w:style>
  <w:style w:type="character" w:customStyle="1" w:styleId="46">
    <w:name w:val="D4 字符"/>
    <w:basedOn w:val="29"/>
    <w:link w:val="44"/>
    <w:qFormat/>
    <w:uiPriority w:val="0"/>
    <w:rPr>
      <w:rFonts w:ascii="Times New Roman" w:hAnsi="Times New Roman" w:eastAsia="仿宋_GB2312"/>
      <w:sz w:val="24"/>
      <w:szCs w:val="24"/>
    </w:rPr>
  </w:style>
  <w:style w:type="paragraph" w:customStyle="1" w:styleId="47">
    <w:name w:val="段"/>
    <w:link w:val="4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8">
    <w:name w:val="段 Char"/>
    <w:basedOn w:val="29"/>
    <w:link w:val="47"/>
    <w:qFormat/>
    <w:uiPriority w:val="0"/>
    <w:rPr>
      <w:rFonts w:ascii="宋体" w:hAnsi="Times New Roman" w:eastAsia="宋体" w:cs="Times New Roman"/>
      <w:kern w:val="0"/>
      <w:szCs w:val="20"/>
    </w:rPr>
  </w:style>
  <w:style w:type="character" w:customStyle="1" w:styleId="49">
    <w:name w:val="批注文字 字符"/>
    <w:basedOn w:val="29"/>
    <w:link w:val="9"/>
    <w:qFormat/>
    <w:uiPriority w:val="0"/>
  </w:style>
  <w:style w:type="character" w:customStyle="1" w:styleId="50">
    <w:name w:val="批注主题 字符"/>
    <w:basedOn w:val="49"/>
    <w:link w:val="26"/>
    <w:qFormat/>
    <w:uiPriority w:val="0"/>
    <w:rPr>
      <w:b/>
      <w:bCs/>
    </w:rPr>
  </w:style>
  <w:style w:type="character" w:customStyle="1" w:styleId="51">
    <w:name w:val="批注框文本 字符"/>
    <w:basedOn w:val="29"/>
    <w:link w:val="16"/>
    <w:qFormat/>
    <w:uiPriority w:val="0"/>
    <w:rPr>
      <w:sz w:val="18"/>
      <w:szCs w:val="18"/>
    </w:rPr>
  </w:style>
  <w:style w:type="character" w:customStyle="1" w:styleId="52">
    <w:name w:val="页眉 字符"/>
    <w:basedOn w:val="29"/>
    <w:link w:val="18"/>
    <w:qFormat/>
    <w:uiPriority w:val="99"/>
    <w:rPr>
      <w:sz w:val="18"/>
      <w:szCs w:val="18"/>
    </w:rPr>
  </w:style>
  <w:style w:type="character" w:customStyle="1" w:styleId="53">
    <w:name w:val="页脚 字符"/>
    <w:basedOn w:val="29"/>
    <w:link w:val="17"/>
    <w:qFormat/>
    <w:uiPriority w:val="99"/>
    <w:rPr>
      <w:sz w:val="18"/>
      <w:szCs w:val="18"/>
    </w:rPr>
  </w:style>
  <w:style w:type="character" w:customStyle="1" w:styleId="54">
    <w:name w:val="日期 字符"/>
    <w:basedOn w:val="29"/>
    <w:link w:val="15"/>
    <w:semiHidden/>
    <w:qFormat/>
    <w:uiPriority w:val="99"/>
  </w:style>
  <w:style w:type="paragraph" w:customStyle="1" w:styleId="55">
    <w:name w:val="正文表标题"/>
    <w:next w:val="47"/>
    <w:qFormat/>
    <w:uiPriority w:val="0"/>
    <w:pPr>
      <w:numPr>
        <w:ilvl w:val="0"/>
        <w:numId w:val="1"/>
      </w:numPr>
      <w:jc w:val="center"/>
    </w:pPr>
    <w:rPr>
      <w:rFonts w:ascii="黑体" w:hAnsi="Times New Roman" w:eastAsia="黑体" w:cs="Times New Roman"/>
      <w:sz w:val="21"/>
      <w:lang w:val="en-US" w:eastAsia="zh-CN" w:bidi="ar-SA"/>
    </w:rPr>
  </w:style>
  <w:style w:type="paragraph" w:customStyle="1" w:styleId="56">
    <w:name w:val="reader-word-layer"/>
    <w:basedOn w:val="1"/>
    <w:qFormat/>
    <w:uiPriority w:val="0"/>
    <w:pPr>
      <w:spacing w:before="100" w:beforeAutospacing="1" w:after="100" w:afterAutospacing="1"/>
    </w:pPr>
  </w:style>
  <w:style w:type="paragraph" w:styleId="57">
    <w:name w:val="List Paragraph"/>
    <w:basedOn w:val="1"/>
    <w:qFormat/>
    <w:uiPriority w:val="34"/>
    <w:pPr>
      <w:ind w:firstLine="420" w:firstLineChars="200"/>
    </w:pPr>
  </w:style>
  <w:style w:type="character" w:styleId="58">
    <w:name w:val="Placeholder Text"/>
    <w:basedOn w:val="29"/>
    <w:semiHidden/>
    <w:qFormat/>
    <w:uiPriority w:val="99"/>
    <w:rPr>
      <w:color w:val="808080"/>
    </w:rPr>
  </w:style>
  <w:style w:type="character" w:customStyle="1" w:styleId="59">
    <w:name w:val="页脚 Char"/>
    <w:qFormat/>
    <w:uiPriority w:val="99"/>
    <w:rPr>
      <w:sz w:val="18"/>
      <w:szCs w:val="18"/>
    </w:rPr>
  </w:style>
  <w:style w:type="paragraph" w:customStyle="1" w:styleId="60">
    <w:name w:val="样式1"/>
    <w:basedOn w:val="1"/>
    <w:link w:val="61"/>
    <w:qFormat/>
    <w:uiPriority w:val="0"/>
    <w:pPr>
      <w:spacing w:line="360" w:lineRule="auto"/>
      <w:ind w:firstLine="420"/>
      <w:jc w:val="center"/>
    </w:pPr>
    <w:rPr>
      <w:rFonts w:ascii="Times New Roman" w:hAnsi="Times New Roman" w:cs="Times New Roman"/>
      <w:b/>
      <w:bCs/>
      <w:szCs w:val="21"/>
    </w:rPr>
  </w:style>
  <w:style w:type="character" w:customStyle="1" w:styleId="61">
    <w:name w:val="样式1 字符"/>
    <w:basedOn w:val="29"/>
    <w:link w:val="60"/>
    <w:qFormat/>
    <w:uiPriority w:val="0"/>
    <w:rPr>
      <w:rFonts w:ascii="Times New Roman" w:hAnsi="Times New Roman" w:eastAsia="宋体" w:cs="Times New Roman"/>
      <w:b/>
      <w:bCs/>
      <w:szCs w:val="21"/>
    </w:rPr>
  </w:style>
  <w:style w:type="paragraph" w:customStyle="1" w:styleId="62">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2E75B6" w:themeColor="accent1" w:themeShade="BF"/>
      <w:kern w:val="0"/>
      <w:sz w:val="28"/>
      <w:szCs w:val="28"/>
    </w:rPr>
  </w:style>
  <w:style w:type="paragraph" w:customStyle="1" w:styleId="63">
    <w:name w:val="前言、引言标题"/>
    <w:next w:val="1"/>
    <w:qFormat/>
    <w:uiPriority w:val="0"/>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64">
    <w:name w:val="章标题"/>
    <w:next w:val="47"/>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65">
    <w:name w:val="一级条标题"/>
    <w:basedOn w:val="64"/>
    <w:next w:val="47"/>
    <w:qFormat/>
    <w:uiPriority w:val="0"/>
    <w:pPr>
      <w:numPr>
        <w:ilvl w:val="2"/>
      </w:numPr>
      <w:spacing w:beforeLines="0" w:afterLines="0"/>
      <w:outlineLvl w:val="2"/>
    </w:pPr>
  </w:style>
  <w:style w:type="paragraph" w:customStyle="1" w:styleId="66">
    <w:name w:val="四级条标题"/>
    <w:basedOn w:val="1"/>
    <w:next w:val="47"/>
    <w:qFormat/>
    <w:uiPriority w:val="0"/>
    <w:pPr>
      <w:numPr>
        <w:ilvl w:val="5"/>
        <w:numId w:val="2"/>
      </w:numPr>
      <w:outlineLvl w:val="5"/>
    </w:pPr>
    <w:rPr>
      <w:rFonts w:ascii="黑体" w:hAnsi="Times New Roman" w:eastAsia="黑体" w:cs="Times New Roman"/>
      <w:szCs w:val="20"/>
    </w:rPr>
  </w:style>
  <w:style w:type="paragraph" w:customStyle="1" w:styleId="67">
    <w:name w:val="五级条标题"/>
    <w:basedOn w:val="66"/>
    <w:next w:val="47"/>
    <w:qFormat/>
    <w:uiPriority w:val="0"/>
    <w:pPr>
      <w:numPr>
        <w:ilvl w:val="6"/>
      </w:numPr>
      <w:outlineLvl w:val="6"/>
    </w:pPr>
  </w:style>
  <w:style w:type="paragraph" w:customStyle="1" w:styleId="68">
    <w:name w:val="Char1 Char Char Char"/>
    <w:basedOn w:val="1"/>
    <w:qFormat/>
    <w:uiPriority w:val="0"/>
    <w:rPr>
      <w:rFonts w:ascii="Tahoma" w:hAnsi="Tahoma" w:cs="Times New Roman"/>
      <w:szCs w:val="20"/>
    </w:rPr>
  </w:style>
  <w:style w:type="paragraph" w:customStyle="1" w:styleId="69">
    <w:name w:val="段落"/>
    <w:basedOn w:val="1"/>
    <w:next w:val="1"/>
    <w:link w:val="70"/>
    <w:qFormat/>
    <w:uiPriority w:val="0"/>
    <w:pPr>
      <w:spacing w:line="360" w:lineRule="auto"/>
      <w:ind w:firstLine="480" w:firstLineChars="200"/>
    </w:pPr>
    <w:rPr>
      <w:rFonts w:ascii="Times New Roman" w:hAnsi="Times New Roman"/>
      <w:szCs w:val="20"/>
    </w:rPr>
  </w:style>
  <w:style w:type="character" w:customStyle="1" w:styleId="70">
    <w:name w:val="段落 Char"/>
    <w:link w:val="69"/>
    <w:qFormat/>
    <w:uiPriority w:val="0"/>
    <w:rPr>
      <w:rFonts w:ascii="Times New Roman" w:hAnsi="Times New Roman" w:eastAsia="宋体" w:cs="宋体"/>
      <w:sz w:val="24"/>
      <w:szCs w:val="20"/>
    </w:rPr>
  </w:style>
  <w:style w:type="character" w:customStyle="1" w:styleId="71">
    <w:name w:val="标题 3 字符"/>
    <w:basedOn w:val="29"/>
    <w:link w:val="4"/>
    <w:qFormat/>
    <w:uiPriority w:val="0"/>
    <w:rPr>
      <w:rFonts w:ascii="Times New Roman" w:hAnsi="Times New Roman" w:eastAsia="宋体" w:cs="Times New Roman"/>
      <w:b/>
      <w:sz w:val="28"/>
      <w:szCs w:val="20"/>
    </w:rPr>
  </w:style>
  <w:style w:type="paragraph" w:customStyle="1" w:styleId="72">
    <w:name w:val="列出段落1"/>
    <w:basedOn w:val="1"/>
    <w:qFormat/>
    <w:uiPriority w:val="34"/>
    <w:pPr>
      <w:ind w:firstLine="420" w:firstLineChars="200"/>
    </w:pPr>
    <w:rPr>
      <w:rFonts w:ascii="Calibri" w:hAnsi="Calibri" w:cs="Times New Roman"/>
    </w:rPr>
  </w:style>
  <w:style w:type="character" w:customStyle="1" w:styleId="73">
    <w:name w:val="HTML 预设格式 字符"/>
    <w:basedOn w:val="29"/>
    <w:link w:val="24"/>
    <w:qFormat/>
    <w:uiPriority w:val="0"/>
    <w:rPr>
      <w:rFonts w:ascii="Courier New" w:hAnsi="Courier New" w:eastAsia="宋体" w:cs="Courier New"/>
      <w:kern w:val="0"/>
      <w:sz w:val="20"/>
      <w:szCs w:val="20"/>
    </w:rPr>
  </w:style>
  <w:style w:type="character" w:customStyle="1" w:styleId="74">
    <w:name w:val="纯文本 字符"/>
    <w:basedOn w:val="29"/>
    <w:link w:val="13"/>
    <w:qFormat/>
    <w:uiPriority w:val="0"/>
    <w:rPr>
      <w:rFonts w:ascii="宋体" w:hAnsi="Courier New" w:eastAsia="宋体" w:cs="Times New Roman"/>
      <w:szCs w:val="20"/>
    </w:rPr>
  </w:style>
  <w:style w:type="paragraph" w:customStyle="1" w:styleId="75">
    <w:name w:val="表"/>
    <w:next w:val="1"/>
    <w:qFormat/>
    <w:uiPriority w:val="0"/>
    <w:pPr>
      <w:jc w:val="center"/>
    </w:pPr>
    <w:rPr>
      <w:rFonts w:ascii="Times New Roman" w:hAnsi="Times New Roman" w:eastAsia="宋体" w:cs="Times New Roman"/>
      <w:sz w:val="21"/>
      <w:lang w:val="en-US" w:eastAsia="zh-CN" w:bidi="ar-SA"/>
    </w:rPr>
  </w:style>
  <w:style w:type="character" w:customStyle="1" w:styleId="76">
    <w:name w:val="编号正文缩进 Char"/>
    <w:basedOn w:val="29"/>
    <w:link w:val="77"/>
    <w:qFormat/>
    <w:uiPriority w:val="0"/>
    <w:rPr>
      <w:rFonts w:eastAsia="宋体"/>
    </w:rPr>
  </w:style>
  <w:style w:type="paragraph" w:customStyle="1" w:styleId="77">
    <w:name w:val="编号正文缩进"/>
    <w:basedOn w:val="1"/>
    <w:link w:val="76"/>
    <w:qFormat/>
    <w:uiPriority w:val="0"/>
    <w:pPr>
      <w:numPr>
        <w:ilvl w:val="0"/>
        <w:numId w:val="3"/>
      </w:numPr>
    </w:pPr>
  </w:style>
  <w:style w:type="paragraph" w:customStyle="1" w:styleId="78">
    <w:name w:val="标准文件_二级条标题"/>
    <w:next w:val="1"/>
    <w:qFormat/>
    <w:uiPriority w:val="0"/>
    <w:pPr>
      <w:widowControl w:val="0"/>
      <w:spacing w:beforeLines="50" w:afterLines="50"/>
      <w:jc w:val="both"/>
      <w:outlineLvl w:val="2"/>
    </w:pPr>
    <w:rPr>
      <w:rFonts w:ascii="黑体" w:hAnsi="Times New Roman" w:eastAsia="黑体" w:cs="Times New Roman"/>
      <w:sz w:val="21"/>
      <w:lang w:val="en-US" w:eastAsia="zh-CN" w:bidi="ar-SA"/>
    </w:rPr>
  </w:style>
  <w:style w:type="paragraph" w:customStyle="1" w:styleId="79">
    <w:name w:val="标准文件_三级条标题"/>
    <w:basedOn w:val="78"/>
    <w:next w:val="1"/>
    <w:qFormat/>
    <w:uiPriority w:val="0"/>
    <w:pPr>
      <w:widowControl/>
      <w:outlineLvl w:val="3"/>
    </w:pPr>
  </w:style>
  <w:style w:type="paragraph" w:customStyle="1" w:styleId="80">
    <w:name w:val="标准文件_四级条标题"/>
    <w:next w:val="1"/>
    <w:qFormat/>
    <w:uiPriority w:val="0"/>
    <w:pPr>
      <w:widowControl w:val="0"/>
      <w:spacing w:beforeLines="50" w:afterLines="50"/>
      <w:jc w:val="both"/>
      <w:outlineLvl w:val="4"/>
    </w:pPr>
    <w:rPr>
      <w:rFonts w:ascii="黑体" w:hAnsi="Times New Roman" w:eastAsia="黑体" w:cs="Times New Roman"/>
      <w:sz w:val="21"/>
      <w:lang w:val="en-US" w:eastAsia="zh-CN" w:bidi="ar-SA"/>
    </w:rPr>
  </w:style>
  <w:style w:type="paragraph" w:customStyle="1" w:styleId="81">
    <w:name w:val="标准文件_五级条标题"/>
    <w:next w:val="1"/>
    <w:qFormat/>
    <w:uiPriority w:val="0"/>
    <w:pPr>
      <w:widowControl w:val="0"/>
      <w:spacing w:beforeLines="50" w:afterLines="50"/>
      <w:jc w:val="both"/>
      <w:outlineLvl w:val="5"/>
    </w:pPr>
    <w:rPr>
      <w:rFonts w:ascii="黑体" w:hAnsi="Times New Roman" w:eastAsia="黑体" w:cs="Times New Roman"/>
      <w:sz w:val="21"/>
      <w:lang w:val="en-US" w:eastAsia="zh-CN" w:bidi="ar-SA"/>
    </w:rPr>
  </w:style>
  <w:style w:type="paragraph" w:customStyle="1" w:styleId="82">
    <w:name w:val="标准文件_章标题"/>
    <w:next w:val="1"/>
    <w:qFormat/>
    <w:uiPriority w:val="0"/>
    <w:pPr>
      <w:spacing w:beforeLines="100" w:afterLines="100"/>
      <w:jc w:val="both"/>
      <w:outlineLvl w:val="0"/>
    </w:pPr>
    <w:rPr>
      <w:rFonts w:ascii="黑体" w:hAnsi="Times New Roman" w:eastAsia="黑体" w:cs="Times New Roman"/>
      <w:sz w:val="21"/>
      <w:lang w:val="en-US" w:eastAsia="zh-CN" w:bidi="ar-SA"/>
    </w:rPr>
  </w:style>
  <w:style w:type="paragraph" w:customStyle="1" w:styleId="83">
    <w:name w:val="标准文件_一级条标题"/>
    <w:basedOn w:val="82"/>
    <w:next w:val="1"/>
    <w:qFormat/>
    <w:uiPriority w:val="0"/>
    <w:pPr>
      <w:spacing w:beforeLines="50" w:afterLines="50"/>
      <w:outlineLvl w:val="1"/>
    </w:pPr>
  </w:style>
  <w:style w:type="paragraph" w:customStyle="1" w:styleId="84">
    <w:name w:val="前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character" w:customStyle="1" w:styleId="85">
    <w:name w:val="批注引用1"/>
    <w:qFormat/>
    <w:uiPriority w:val="0"/>
    <w:rPr>
      <w:sz w:val="21"/>
      <w:szCs w:val="21"/>
    </w:rPr>
  </w:style>
  <w:style w:type="character" w:customStyle="1" w:styleId="86">
    <w:name w:val="标题 4 字符"/>
    <w:basedOn w:val="29"/>
    <w:link w:val="5"/>
    <w:semiHidden/>
    <w:qFormat/>
    <w:uiPriority w:val="9"/>
    <w:rPr>
      <w:rFonts w:ascii="等线 Light" w:hAnsi="等线 Light" w:eastAsia="等线 Light" w:cs="Times New Roman"/>
      <w:b/>
      <w:bCs/>
      <w:sz w:val="28"/>
      <w:szCs w:val="28"/>
    </w:rPr>
  </w:style>
  <w:style w:type="character" w:customStyle="1" w:styleId="87">
    <w:name w:val="批注引用2"/>
    <w:qFormat/>
    <w:uiPriority w:val="0"/>
    <w:rPr>
      <w:sz w:val="21"/>
      <w:szCs w:val="21"/>
    </w:rPr>
  </w:style>
  <w:style w:type="character" w:customStyle="1" w:styleId="88">
    <w:name w:val="11fftt1"/>
    <w:qFormat/>
    <w:uiPriority w:val="0"/>
    <w:rPr>
      <w:rFonts w:hint="eastAsia" w:ascii="宋体" w:hAnsi="宋体" w:eastAsia="宋体"/>
      <w:color w:val="000000"/>
      <w:sz w:val="22"/>
      <w:szCs w:val="22"/>
    </w:rPr>
  </w:style>
  <w:style w:type="character" w:customStyle="1" w:styleId="89">
    <w:name w:val="二级标题 Char Char"/>
    <w:link w:val="90"/>
    <w:qFormat/>
    <w:uiPriority w:val="0"/>
    <w:rPr>
      <w:rFonts w:ascii="宋体" w:hAnsi="宋体" w:eastAsia="黑体"/>
      <w:b/>
      <w:bCs/>
      <w:color w:val="000000"/>
      <w:sz w:val="28"/>
      <w:szCs w:val="28"/>
    </w:rPr>
  </w:style>
  <w:style w:type="paragraph" w:customStyle="1" w:styleId="90">
    <w:name w:val="二级标题"/>
    <w:basedOn w:val="4"/>
    <w:link w:val="89"/>
    <w:qFormat/>
    <w:uiPriority w:val="0"/>
    <w:pPr>
      <w:widowControl w:val="0"/>
      <w:tabs>
        <w:tab w:val="left" w:pos="540"/>
        <w:tab w:val="left" w:pos="1080"/>
        <w:tab w:val="left" w:pos="1260"/>
      </w:tabs>
      <w:adjustRightInd w:val="0"/>
      <w:snapToGrid w:val="0"/>
      <w:spacing w:before="360" w:line="300" w:lineRule="auto"/>
    </w:pPr>
    <w:rPr>
      <w:rFonts w:ascii="宋体" w:hAnsi="宋体" w:eastAsia="黑体" w:cstheme="minorBidi"/>
      <w:bCs/>
      <w:color w:val="000000"/>
      <w:kern w:val="2"/>
      <w:szCs w:val="28"/>
    </w:rPr>
  </w:style>
  <w:style w:type="character" w:customStyle="1" w:styleId="91">
    <w:name w:val="一级标题 Char Char"/>
    <w:link w:val="92"/>
    <w:qFormat/>
    <w:uiPriority w:val="0"/>
    <w:rPr>
      <w:rFonts w:ascii="黑体" w:hAnsi="黑体" w:eastAsia="黑体"/>
      <w:bCs/>
      <w:sz w:val="26"/>
      <w:szCs w:val="26"/>
    </w:rPr>
  </w:style>
  <w:style w:type="paragraph" w:customStyle="1" w:styleId="92">
    <w:name w:val="一级标题"/>
    <w:basedOn w:val="4"/>
    <w:link w:val="91"/>
    <w:qFormat/>
    <w:uiPriority w:val="0"/>
    <w:pPr>
      <w:widowControl w:val="0"/>
      <w:tabs>
        <w:tab w:val="left" w:pos="540"/>
        <w:tab w:val="left" w:pos="1080"/>
        <w:tab w:val="left" w:pos="1260"/>
      </w:tabs>
      <w:adjustRightInd w:val="0"/>
      <w:snapToGrid w:val="0"/>
      <w:spacing w:before="360" w:line="300" w:lineRule="auto"/>
    </w:pPr>
    <w:rPr>
      <w:rFonts w:ascii="黑体" w:hAnsi="黑体" w:eastAsia="黑体" w:cstheme="minorBidi"/>
      <w:b w:val="0"/>
      <w:bCs/>
      <w:kern w:val="2"/>
      <w:sz w:val="26"/>
      <w:szCs w:val="26"/>
    </w:rPr>
  </w:style>
  <w:style w:type="character" w:customStyle="1" w:styleId="93">
    <w:name w:val="BSH-3 Char"/>
    <w:qFormat/>
    <w:uiPriority w:val="0"/>
    <w:rPr>
      <w:rFonts w:ascii="Times New Roman" w:hAnsi="Times New Roman" w:eastAsia="宋体" w:cs="Times New Roman"/>
      <w:b/>
      <w:bCs/>
      <w:sz w:val="32"/>
      <w:szCs w:val="32"/>
    </w:rPr>
  </w:style>
  <w:style w:type="character" w:customStyle="1" w:styleId="94">
    <w:name w:val="页码1"/>
    <w:basedOn w:val="29"/>
    <w:qFormat/>
    <w:uiPriority w:val="0"/>
  </w:style>
  <w:style w:type="paragraph" w:customStyle="1" w:styleId="9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6">
    <w:name w:val="Char Char Char Char Char Char Char"/>
    <w:basedOn w:val="1"/>
    <w:qFormat/>
    <w:uiPriority w:val="0"/>
    <w:pPr>
      <w:widowControl w:val="0"/>
      <w:jc w:val="both"/>
    </w:pPr>
    <w:rPr>
      <w:rFonts w:ascii="Times New Roman" w:hAnsi="Times New Roman" w:cs="Times New Roman"/>
      <w:kern w:val="2"/>
    </w:rPr>
  </w:style>
  <w:style w:type="paragraph" w:customStyle="1" w:styleId="97">
    <w:name w:val="列表段落1"/>
    <w:basedOn w:val="1"/>
    <w:qFormat/>
    <w:uiPriority w:val="0"/>
    <w:pPr>
      <w:widowControl w:val="0"/>
      <w:ind w:firstLine="420" w:firstLineChars="200"/>
      <w:jc w:val="both"/>
    </w:pPr>
    <w:rPr>
      <w:rFonts w:ascii="Times New Roman" w:hAnsi="Times New Roman" w:cs="Times New Roman"/>
      <w:kern w:val="2"/>
      <w:sz w:val="21"/>
    </w:rPr>
  </w:style>
  <w:style w:type="paragraph" w:customStyle="1" w:styleId="98">
    <w:name w:val="日期1"/>
    <w:basedOn w:val="1"/>
    <w:next w:val="1"/>
    <w:qFormat/>
    <w:uiPriority w:val="0"/>
    <w:pPr>
      <w:widowControl w:val="0"/>
      <w:ind w:left="100" w:leftChars="2500"/>
      <w:jc w:val="both"/>
    </w:pPr>
    <w:rPr>
      <w:rFonts w:ascii="Times New Roman" w:hAnsi="Times New Roman" w:cs="Times New Roman"/>
      <w:kern w:val="2"/>
      <w:sz w:val="21"/>
    </w:rPr>
  </w:style>
  <w:style w:type="paragraph" w:customStyle="1" w:styleId="99">
    <w:name w:val="Char Char Char"/>
    <w:basedOn w:val="2"/>
    <w:qFormat/>
    <w:uiPriority w:val="0"/>
    <w:pPr>
      <w:widowControl w:val="0"/>
      <w:snapToGrid w:val="0"/>
      <w:spacing w:before="240" w:after="240" w:line="348" w:lineRule="auto"/>
      <w:ind w:firstLine="200" w:firstLineChars="200"/>
      <w:jc w:val="both"/>
    </w:pPr>
    <w:rPr>
      <w:rFonts w:ascii="Tahoma" w:hAnsi="Tahoma" w:eastAsia="楷体_GB2312" w:cs="Times New Roman"/>
      <w:bCs w:val="0"/>
      <w:kern w:val="2"/>
      <w:sz w:val="24"/>
      <w:szCs w:val="20"/>
    </w:rPr>
  </w:style>
  <w:style w:type="paragraph" w:customStyle="1" w:styleId="100">
    <w:name w:val="样式 正文缩进 + 左侧:  0.37 厘米 右侧:  0.37 厘米"/>
    <w:basedOn w:val="95"/>
    <w:next w:val="95"/>
    <w:qFormat/>
    <w:uiPriority w:val="0"/>
    <w:rPr>
      <w:rFonts w:cs="Times New Roman"/>
      <w:color w:val="auto"/>
    </w:rPr>
  </w:style>
  <w:style w:type="paragraph" w:customStyle="1" w:styleId="101">
    <w:name w:val="正文文本缩进1"/>
    <w:basedOn w:val="1"/>
    <w:qFormat/>
    <w:uiPriority w:val="0"/>
    <w:pPr>
      <w:widowControl w:val="0"/>
      <w:ind w:firstLine="560" w:firstLineChars="200"/>
      <w:jc w:val="both"/>
    </w:pPr>
    <w:rPr>
      <w:rFonts w:cs="Times New Roman"/>
      <w:kern w:val="2"/>
      <w:sz w:val="28"/>
    </w:rPr>
  </w:style>
  <w:style w:type="paragraph" w:customStyle="1" w:styleId="102">
    <w:name w:val="文档结构图1"/>
    <w:basedOn w:val="1"/>
    <w:qFormat/>
    <w:uiPriority w:val="0"/>
    <w:pPr>
      <w:widowControl w:val="0"/>
      <w:shd w:val="clear" w:color="auto" w:fill="000080"/>
      <w:jc w:val="both"/>
    </w:pPr>
    <w:rPr>
      <w:rFonts w:ascii="Times New Roman" w:hAnsi="Times New Roman" w:cs="Times New Roman"/>
      <w:kern w:val="2"/>
      <w:sz w:val="21"/>
    </w:rPr>
  </w:style>
  <w:style w:type="paragraph" w:customStyle="1" w:styleId="103">
    <w:name w:val="Char"/>
    <w:basedOn w:val="1"/>
    <w:qFormat/>
    <w:uiPriority w:val="0"/>
    <w:pPr>
      <w:widowControl w:val="0"/>
      <w:ind w:left="3960"/>
      <w:jc w:val="both"/>
    </w:pPr>
    <w:rPr>
      <w:rFonts w:ascii="Times New Roman" w:hAnsi="Times New Roman" w:cs="Times New Roman"/>
      <w:kern w:val="2"/>
    </w:rPr>
  </w:style>
  <w:style w:type="paragraph" w:customStyle="1" w:styleId="104">
    <w:name w:val="纯文本1"/>
    <w:basedOn w:val="1"/>
    <w:qFormat/>
    <w:uiPriority w:val="0"/>
    <w:pPr>
      <w:widowControl w:val="0"/>
      <w:jc w:val="both"/>
    </w:pPr>
    <w:rPr>
      <w:rFonts w:hAnsi="Courier New" w:cs="Courier New"/>
      <w:kern w:val="2"/>
      <w:sz w:val="21"/>
      <w:szCs w:val="21"/>
    </w:rPr>
  </w:style>
  <w:style w:type="paragraph" w:customStyle="1" w:styleId="105">
    <w:name w:val="正文缩进1"/>
    <w:basedOn w:val="1"/>
    <w:qFormat/>
    <w:uiPriority w:val="0"/>
    <w:pPr>
      <w:widowControl w:val="0"/>
      <w:ind w:firstLine="420"/>
      <w:jc w:val="both"/>
    </w:pPr>
    <w:rPr>
      <w:rFonts w:ascii="Times New Roman" w:hAnsi="Times New Roman" w:cs="Times New Roman"/>
      <w:kern w:val="2"/>
      <w:sz w:val="21"/>
      <w:szCs w:val="20"/>
    </w:rPr>
  </w:style>
  <w:style w:type="paragraph" w:customStyle="1" w:styleId="106">
    <w:name w:val="默认段落字体 Para Char Char Char Char Char Char Char"/>
    <w:basedOn w:val="1"/>
    <w:qFormat/>
    <w:uiPriority w:val="0"/>
    <w:pPr>
      <w:widowControl w:val="0"/>
      <w:jc w:val="both"/>
    </w:pPr>
    <w:rPr>
      <w:rFonts w:ascii="Times New Roman" w:hAnsi="Times New Roman" w:cs="Times New Roman"/>
      <w:kern w:val="2"/>
      <w:sz w:val="21"/>
    </w:rPr>
  </w:style>
  <w:style w:type="paragraph" w:customStyle="1" w:styleId="107">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8">
    <w:name w:val="条3"/>
    <w:basedOn w:val="1"/>
    <w:next w:val="1"/>
    <w:qFormat/>
    <w:uiPriority w:val="0"/>
    <w:pPr>
      <w:widowControl w:val="0"/>
      <w:numPr>
        <w:ilvl w:val="3"/>
        <w:numId w:val="4"/>
      </w:numPr>
      <w:jc w:val="both"/>
      <w:outlineLvl w:val="1"/>
    </w:pPr>
    <w:rPr>
      <w:rFonts w:ascii="黑体" w:hAnsi="Times New Roman" w:eastAsia="黑体" w:cs="Times New Roman"/>
      <w:kern w:val="21"/>
      <w:sz w:val="21"/>
      <w:szCs w:val="20"/>
    </w:rPr>
  </w:style>
  <w:style w:type="paragraph" w:customStyle="1" w:styleId="109">
    <w:name w:val="发布部门"/>
    <w:next w:val="1"/>
    <w:qFormat/>
    <w:uiPriority w:val="0"/>
    <w:pPr>
      <w:jc w:val="center"/>
    </w:pPr>
    <w:rPr>
      <w:rFonts w:ascii="宋体" w:hAnsi="Times New Roman" w:eastAsia="宋体" w:cs="Times New Roman"/>
      <w:b/>
      <w:spacing w:val="20"/>
      <w:w w:val="135"/>
      <w:sz w:val="36"/>
      <w:lang w:val="en-US" w:eastAsia="zh-CN" w:bidi="ar-SA"/>
    </w:rPr>
  </w:style>
  <w:style w:type="paragraph" w:customStyle="1" w:styleId="110">
    <w:name w:val="条5"/>
    <w:basedOn w:val="1"/>
    <w:next w:val="1"/>
    <w:qFormat/>
    <w:uiPriority w:val="0"/>
    <w:pPr>
      <w:widowControl w:val="0"/>
      <w:numPr>
        <w:ilvl w:val="5"/>
        <w:numId w:val="4"/>
      </w:numPr>
      <w:jc w:val="both"/>
      <w:outlineLvl w:val="1"/>
    </w:pPr>
    <w:rPr>
      <w:rFonts w:ascii="黑体" w:hAnsi="Times New Roman" w:eastAsia="黑体" w:cs="Times New Roman"/>
      <w:kern w:val="21"/>
      <w:sz w:val="21"/>
      <w:szCs w:val="20"/>
    </w:rPr>
  </w:style>
  <w:style w:type="paragraph" w:customStyle="1" w:styleId="111">
    <w:name w:val="正文缩进11"/>
    <w:basedOn w:val="1"/>
    <w:qFormat/>
    <w:uiPriority w:val="0"/>
    <w:pPr>
      <w:widowControl w:val="0"/>
      <w:ind w:firstLine="420" w:firstLineChars="200"/>
      <w:jc w:val="both"/>
    </w:pPr>
    <w:rPr>
      <w:rFonts w:ascii="Times New Roman" w:hAnsi="Times New Roman" w:cs="Times New Roman"/>
      <w:kern w:val="2"/>
      <w:sz w:val="28"/>
      <w:szCs w:val="20"/>
    </w:rPr>
  </w:style>
  <w:style w:type="paragraph" w:customStyle="1" w:styleId="112">
    <w:name w:val="条2"/>
    <w:basedOn w:val="1"/>
    <w:next w:val="1"/>
    <w:qFormat/>
    <w:uiPriority w:val="0"/>
    <w:pPr>
      <w:widowControl w:val="0"/>
      <w:numPr>
        <w:ilvl w:val="2"/>
        <w:numId w:val="4"/>
      </w:numPr>
      <w:jc w:val="both"/>
      <w:outlineLvl w:val="1"/>
    </w:pPr>
    <w:rPr>
      <w:rFonts w:ascii="黑体" w:hAnsi="Times New Roman" w:eastAsia="黑体" w:cs="Times New Roman"/>
      <w:kern w:val="21"/>
      <w:sz w:val="21"/>
      <w:szCs w:val="20"/>
    </w:rPr>
  </w:style>
  <w:style w:type="paragraph" w:customStyle="1" w:styleId="113">
    <w:name w:val="图表目录1"/>
    <w:basedOn w:val="1"/>
    <w:next w:val="1"/>
    <w:qFormat/>
    <w:uiPriority w:val="0"/>
    <w:pPr>
      <w:widowControl w:val="0"/>
      <w:spacing w:before="31" w:beforeLines="10" w:after="124" w:afterLines="40" w:line="300" w:lineRule="auto"/>
      <w:ind w:left="420" w:hanging="420"/>
      <w:jc w:val="center"/>
    </w:pPr>
    <w:rPr>
      <w:rFonts w:ascii="黑体" w:hAnsi="Times New Roman" w:eastAsia="黑体" w:cs="Times New Roman"/>
      <w:caps/>
      <w:kern w:val="2"/>
    </w:rPr>
  </w:style>
  <w:style w:type="paragraph" w:customStyle="1" w:styleId="114">
    <w:name w:val="条4"/>
    <w:basedOn w:val="1"/>
    <w:next w:val="1"/>
    <w:qFormat/>
    <w:uiPriority w:val="0"/>
    <w:pPr>
      <w:widowControl w:val="0"/>
      <w:numPr>
        <w:ilvl w:val="4"/>
        <w:numId w:val="4"/>
      </w:numPr>
      <w:jc w:val="both"/>
      <w:outlineLvl w:val="1"/>
    </w:pPr>
    <w:rPr>
      <w:rFonts w:ascii="黑体" w:hAnsi="Times New Roman" w:eastAsia="黑体" w:cs="Times New Roman"/>
      <w:kern w:val="21"/>
      <w:sz w:val="21"/>
      <w:szCs w:val="20"/>
    </w:rPr>
  </w:style>
  <w:style w:type="paragraph" w:customStyle="1" w:styleId="115">
    <w:name w:val="修订1"/>
    <w:qFormat/>
    <w:uiPriority w:val="0"/>
    <w:rPr>
      <w:rFonts w:ascii="Times New Roman" w:hAnsi="Times New Roman" w:eastAsia="宋体" w:cs="Times New Roman"/>
      <w:kern w:val="2"/>
      <w:sz w:val="21"/>
      <w:szCs w:val="24"/>
      <w:lang w:val="en-US" w:eastAsia="zh-CN" w:bidi="ar-SA"/>
    </w:rPr>
  </w:style>
  <w:style w:type="paragraph" w:customStyle="1" w:styleId="116">
    <w:name w:val="条1"/>
    <w:basedOn w:val="1"/>
    <w:next w:val="1"/>
    <w:qFormat/>
    <w:uiPriority w:val="0"/>
    <w:pPr>
      <w:widowControl w:val="0"/>
      <w:numPr>
        <w:ilvl w:val="1"/>
        <w:numId w:val="4"/>
      </w:numPr>
      <w:jc w:val="both"/>
      <w:outlineLvl w:val="1"/>
    </w:pPr>
    <w:rPr>
      <w:rFonts w:ascii="黑体" w:hAnsi="Times New Roman" w:eastAsia="黑体" w:cs="Times New Roman"/>
      <w:kern w:val="21"/>
      <w:sz w:val="21"/>
      <w:szCs w:val="20"/>
    </w:rPr>
  </w:style>
  <w:style w:type="paragraph" w:customStyle="1" w:styleId="117">
    <w:name w:val="批注主题1"/>
    <w:basedOn w:val="9"/>
    <w:next w:val="9"/>
    <w:qFormat/>
    <w:uiPriority w:val="0"/>
    <w:pPr>
      <w:widowControl w:val="0"/>
    </w:pPr>
    <w:rPr>
      <w:rFonts w:ascii="Times New Roman" w:hAnsi="Times New Roman" w:cs="Times New Roman"/>
      <w:b/>
      <w:bCs/>
      <w:kern w:val="2"/>
      <w:sz w:val="21"/>
    </w:rPr>
  </w:style>
  <w:style w:type="paragraph" w:customStyle="1" w:styleId="118">
    <w:name w:val="章"/>
    <w:basedOn w:val="1"/>
    <w:next w:val="1"/>
    <w:qFormat/>
    <w:uiPriority w:val="0"/>
    <w:pPr>
      <w:widowControl w:val="0"/>
      <w:numPr>
        <w:ilvl w:val="0"/>
        <w:numId w:val="4"/>
      </w:numPr>
      <w:adjustRightInd w:val="0"/>
      <w:spacing w:before="160" w:after="160"/>
      <w:jc w:val="both"/>
      <w:outlineLvl w:val="0"/>
    </w:pPr>
    <w:rPr>
      <w:rFonts w:ascii="黑体" w:hAnsi="Times New Roman" w:eastAsia="黑体" w:cs="Times New Roman"/>
      <w:kern w:val="21"/>
      <w:sz w:val="21"/>
      <w:szCs w:val="20"/>
    </w:rPr>
  </w:style>
  <w:style w:type="character" w:customStyle="1" w:styleId="119">
    <w:name w:val="正文文本 字符"/>
    <w:basedOn w:val="29"/>
    <w:link w:val="10"/>
    <w:qFormat/>
    <w:uiPriority w:val="0"/>
    <w:rPr>
      <w:rFonts w:ascii="Times New Roman" w:hAnsi="Times New Roman" w:eastAsia="宋体" w:cs="Times New Roman"/>
      <w:b/>
      <w:sz w:val="48"/>
      <w:szCs w:val="30"/>
    </w:rPr>
  </w:style>
  <w:style w:type="paragraph" w:customStyle="1" w:styleId="120">
    <w:name w:val="普通(网站)1"/>
    <w:basedOn w:val="1"/>
    <w:qFormat/>
    <w:uiPriority w:val="0"/>
    <w:pPr>
      <w:spacing w:before="100" w:beforeAutospacing="1" w:after="100" w:afterAutospacing="1"/>
    </w:pPr>
  </w:style>
  <w:style w:type="paragraph" w:customStyle="1" w:styleId="121">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22">
    <w:name w:val="表格"/>
    <w:basedOn w:val="95"/>
    <w:next w:val="95"/>
    <w:qFormat/>
    <w:uiPriority w:val="0"/>
    <w:rPr>
      <w:rFonts w:ascii="宋体..鐅." w:eastAsia="宋体..鐅." w:cs="Times New Roman"/>
      <w:color w:val="auto"/>
    </w:rPr>
  </w:style>
  <w:style w:type="paragraph" w:customStyle="1" w:styleId="123">
    <w:name w:val="标准文件_段"/>
    <w:link w:val="12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24">
    <w:name w:val="标准文件_段 Char"/>
    <w:link w:val="123"/>
    <w:qFormat/>
    <w:uiPriority w:val="0"/>
    <w:rPr>
      <w:rFonts w:ascii="宋体" w:hAnsi="Times New Roman" w:eastAsia="宋体" w:cs="Times New Roman"/>
      <w:kern w:val="0"/>
      <w:szCs w:val="20"/>
    </w:rPr>
  </w:style>
  <w:style w:type="paragraph" w:customStyle="1" w:styleId="125">
    <w:name w:val="修订2"/>
    <w:hidden/>
    <w:semiHidden/>
    <w:qFormat/>
    <w:uiPriority w:val="99"/>
    <w:rPr>
      <w:rFonts w:ascii="宋体" w:hAnsi="宋体" w:eastAsia="宋体" w:cs="宋体"/>
      <w:sz w:val="24"/>
      <w:szCs w:val="24"/>
      <w:lang w:val="en-US" w:eastAsia="zh-CN" w:bidi="ar-SA"/>
    </w:rPr>
  </w:style>
  <w:style w:type="character" w:customStyle="1" w:styleId="126">
    <w:name w:val="font51"/>
    <w:basedOn w:val="29"/>
    <w:qFormat/>
    <w:uiPriority w:val="0"/>
    <w:rPr>
      <w:rFonts w:hint="eastAsia" w:ascii="宋体" w:hAnsi="宋体" w:eastAsia="宋体" w:cs="宋体"/>
      <w:color w:val="000000"/>
      <w:sz w:val="24"/>
      <w:szCs w:val="24"/>
      <w:u w:val="none"/>
    </w:rPr>
  </w:style>
  <w:style w:type="character" w:customStyle="1" w:styleId="127">
    <w:name w:val="font01"/>
    <w:basedOn w:val="29"/>
    <w:qFormat/>
    <w:uiPriority w:val="0"/>
    <w:rPr>
      <w:rFonts w:hint="eastAsia" w:ascii="宋体" w:hAnsi="宋体" w:eastAsia="宋体" w:cs="宋体"/>
      <w:color w:val="000000"/>
      <w:sz w:val="22"/>
      <w:szCs w:val="22"/>
      <w:u w:val="none"/>
    </w:rPr>
  </w:style>
  <w:style w:type="character" w:customStyle="1" w:styleId="128">
    <w:name w:val="font61"/>
    <w:basedOn w:val="29"/>
    <w:qFormat/>
    <w:uiPriority w:val="0"/>
    <w:rPr>
      <w:rFonts w:hint="default" w:ascii="Times New Roman" w:hAnsi="Times New Roman" w:cs="Times New Roman"/>
      <w:color w:val="000000"/>
      <w:sz w:val="24"/>
      <w:szCs w:val="24"/>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E5158E-ABFE-4FF3-AB4D-6C462DBA6CF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83</Pages>
  <Words>637</Words>
  <Characters>810</Characters>
  <Lines>414</Lines>
  <Paragraphs>116</Paragraphs>
  <TotalTime>1150</TotalTime>
  <ScaleCrop>false</ScaleCrop>
  <LinksUpToDate>false</LinksUpToDate>
  <CharactersWithSpaces>1018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2026-01-08T10:03:00Z</dcterms:created>
  <dc:creator>AutoBVT</dc:creator>
  <cp:lastModifiedBy>mona</cp:lastModifiedBy>
  <cp:lastPrinted>2017-07-31T08:13:00Z</cp:lastPrinted>
  <dcterms:modified xsi:type="dcterms:W3CDTF">2026-06-01T01:45:33Z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B75D7D8496F746339E5FA87239E6E772_13</vt:lpwstr>
  </property>
  <property fmtid="{D5CDD505-2E9C-101B-9397-08002B2CF9AE}" pid="4" name="KSOTemplateDocerSaveRecord">
    <vt:lpwstr>eyJoZGlkIjoiYTYwZTRmYzA5ZmYxMmVhMzZlY2JiMzBmZDNiODc2NDMiLCJ1c2VySWQiOiI0NDc0NzM2NTUifQ==</vt:lpwstr>
  </property>
</Properties>
</file>