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39BEC">
      <w:pPr>
        <w:spacing w:after="0" w:line="600" w:lineRule="exact"/>
        <w:jc w:val="center"/>
        <w:rPr>
          <w:rFonts w:ascii="Times New Roman" w:hAnsi="Times New Roman" w:eastAsia="华文中宋" w:cs="Times New Roman"/>
          <w:b/>
          <w:sz w:val="44"/>
          <w:szCs w:val="44"/>
        </w:rPr>
      </w:pPr>
      <w:bookmarkStart w:id="4" w:name="_GoBack"/>
      <w:bookmarkEnd w:id="4"/>
      <w:bookmarkStart w:id="0" w:name="_Hlk92463962"/>
      <w:r>
        <w:rPr>
          <w:rFonts w:ascii="Times New Roman" w:hAnsi="Times New Roman" w:eastAsia="华文中宋" w:cs="Times New Roman"/>
          <w:b/>
          <w:sz w:val="44"/>
          <w:szCs w:val="44"/>
        </w:rPr>
        <w:t>关于实施污染物排放远程在线监控</w:t>
      </w:r>
    </w:p>
    <w:p w14:paraId="29D0B538">
      <w:pPr>
        <w:spacing w:after="0" w:line="600" w:lineRule="exact"/>
        <w:jc w:val="center"/>
        <w:rPr>
          <w:rFonts w:ascii="Times New Roman" w:hAnsi="Times New Roman" w:eastAsia="华文中宋" w:cs="Times New Roman"/>
          <w:b/>
          <w:sz w:val="44"/>
          <w:szCs w:val="44"/>
        </w:rPr>
      </w:pPr>
      <w:r>
        <w:rPr>
          <w:rFonts w:ascii="Times New Roman" w:hAnsi="Times New Roman" w:eastAsia="华文中宋" w:cs="Times New Roman"/>
          <w:b/>
          <w:sz w:val="44"/>
          <w:szCs w:val="44"/>
        </w:rPr>
        <w:t>重型柴油车免于排放检验的通告</w:t>
      </w:r>
    </w:p>
    <w:p w14:paraId="3087A48A">
      <w:pPr>
        <w:spacing w:after="0" w:line="600" w:lineRule="exact"/>
        <w:jc w:val="center"/>
        <w:rPr>
          <w:rFonts w:ascii="Times New Roman" w:hAnsi="Times New Roman" w:eastAsia="华文中宋" w:cs="Times New Roman"/>
          <w:b/>
          <w:sz w:val="44"/>
          <w:szCs w:val="44"/>
          <w:highlight w:val="yellow"/>
        </w:rPr>
      </w:pPr>
      <w:r>
        <w:rPr>
          <w:rFonts w:ascii="Times New Roman" w:hAnsi="Times New Roman" w:eastAsia="华文中宋" w:cs="Times New Roman"/>
          <w:b/>
          <w:sz w:val="44"/>
          <w:szCs w:val="44"/>
        </w:rPr>
        <w:t>（2026年修订版）</w:t>
      </w:r>
    </w:p>
    <w:p w14:paraId="02087B68">
      <w:pPr>
        <w:tabs>
          <w:tab w:val="left" w:pos="623"/>
        </w:tabs>
        <w:spacing w:after="0" w:line="600" w:lineRule="exact"/>
        <w:jc w:val="center"/>
        <w:rPr>
          <w:rFonts w:ascii="Times New Roman" w:hAnsi="Times New Roman" w:eastAsia="华文楷体" w:cs="Times New Roman"/>
          <w:bCs/>
        </w:rPr>
      </w:pPr>
      <w:r>
        <w:rPr>
          <w:rFonts w:ascii="Times New Roman" w:hAnsi="Times New Roman" w:eastAsia="楷体" w:cs="Times New Roman"/>
          <w:bCs/>
        </w:rPr>
        <w:t>（征求意见稿）</w:t>
      </w:r>
    </w:p>
    <w:bookmarkEnd w:id="0"/>
    <w:p w14:paraId="594944B9">
      <w:pPr>
        <w:tabs>
          <w:tab w:val="left" w:pos="623"/>
        </w:tabs>
        <w:spacing w:after="0" w:line="600" w:lineRule="exact"/>
        <w:ind w:firstLine="640" w:firstLineChars="200"/>
        <w:rPr>
          <w:rFonts w:ascii="Times New Roman" w:hAnsi="Times New Roman" w:cs="Times New Roman"/>
          <w:szCs w:val="21"/>
        </w:rPr>
      </w:pPr>
    </w:p>
    <w:p w14:paraId="6A12A88A">
      <w:pPr>
        <w:tabs>
          <w:tab w:val="left" w:pos="623"/>
        </w:tabs>
        <w:spacing w:after="0" w:line="600" w:lineRule="exact"/>
        <w:ind w:firstLine="640" w:firstLineChars="200"/>
        <w:jc w:val="both"/>
        <w:rPr>
          <w:rFonts w:ascii="Times New Roman" w:hAnsi="Times New Roman" w:cs="Times New Roman"/>
        </w:rPr>
      </w:pPr>
      <w:r>
        <w:rPr>
          <w:rFonts w:ascii="Times New Roman" w:hAnsi="Times New Roman" w:cs="Times New Roman"/>
          <w:bCs/>
        </w:rPr>
        <w:t>根据《关于进一步优化机动车环境监管的意见》（环执法〔2025〕34号）、《柴油车污染物排放限值及测量方法（自由加速法及加载减速法）》（GB 3847-2018）、《上海市推进重型柴油车污染物排放远程在线监控工作方案》（沪环气〔2020〕87号）等要求，为进一步便民惠民，</w:t>
      </w:r>
      <w:r>
        <w:rPr>
          <w:rFonts w:ascii="Times New Roman" w:hAnsi="Times New Roman" w:cs="Times New Roman"/>
        </w:rPr>
        <w:t>决定对安装</w:t>
      </w:r>
      <w:r>
        <w:rPr>
          <w:rFonts w:ascii="Times New Roman" w:hAnsi="Times New Roman" w:cs="Times New Roman"/>
          <w:bCs/>
        </w:rPr>
        <w:t>污染物排放远程在线监控</w:t>
      </w:r>
      <w:r>
        <w:rPr>
          <w:rFonts w:ascii="Times New Roman" w:hAnsi="Times New Roman" w:cs="Times New Roman"/>
        </w:rPr>
        <w:t>并联网且稳定达标排放的重型柴油车，在定期排放检验时免于上线排放检验（以下简称“排放免检”）。现将相关事宜通告如下：</w:t>
      </w:r>
    </w:p>
    <w:p w14:paraId="794352C7">
      <w:pPr>
        <w:tabs>
          <w:tab w:val="left" w:pos="623"/>
        </w:tabs>
        <w:spacing w:after="0" w:line="600" w:lineRule="exact"/>
        <w:ind w:firstLine="643" w:firstLineChars="200"/>
        <w:jc w:val="both"/>
        <w:rPr>
          <w:rFonts w:ascii="Times New Roman" w:hAnsi="Times New Roman" w:cs="Times New Roman"/>
        </w:rPr>
      </w:pPr>
      <w:r>
        <w:rPr>
          <w:rFonts w:ascii="Times New Roman" w:hAnsi="Times New Roman" w:eastAsia="楷体_GB2312" w:cs="Times New Roman"/>
          <w:b/>
        </w:rPr>
        <w:t>一、实施对象。</w:t>
      </w:r>
      <w:r>
        <w:rPr>
          <w:rFonts w:ascii="Times New Roman" w:hAnsi="Times New Roman" w:cs="Times New Roman"/>
        </w:rPr>
        <w:t>安装</w:t>
      </w:r>
      <w:r>
        <w:rPr>
          <w:rFonts w:ascii="Times New Roman" w:hAnsi="Times New Roman" w:cs="Times New Roman"/>
          <w:bCs/>
        </w:rPr>
        <w:t>污染物排放远程在线监控</w:t>
      </w:r>
      <w:r>
        <w:rPr>
          <w:rFonts w:ascii="Times New Roman" w:hAnsi="Times New Roman" w:cs="Times New Roman"/>
        </w:rPr>
        <w:t>终端并接入</w:t>
      </w:r>
      <w:bookmarkStart w:id="1" w:name="_Hlk92361372"/>
      <w:r>
        <w:rPr>
          <w:rFonts w:ascii="Times New Roman" w:hAnsi="Times New Roman" w:cs="Times New Roman"/>
        </w:rPr>
        <w:t>上海市重型柴油车远程在线监控平台</w:t>
      </w:r>
      <w:bookmarkEnd w:id="1"/>
      <w:r>
        <w:rPr>
          <w:rFonts w:ascii="Times New Roman" w:hAnsi="Times New Roman" w:cs="Times New Roman"/>
        </w:rPr>
        <w:t>且在上海市内检验的沪牌重型柴油车。</w:t>
      </w:r>
    </w:p>
    <w:p w14:paraId="660EF5EC">
      <w:pPr>
        <w:tabs>
          <w:tab w:val="left" w:pos="623"/>
        </w:tabs>
        <w:spacing w:after="0" w:line="600" w:lineRule="exact"/>
        <w:ind w:firstLine="643" w:firstLineChars="200"/>
        <w:jc w:val="both"/>
        <w:rPr>
          <w:rFonts w:ascii="Times New Roman" w:hAnsi="Times New Roman" w:cs="Times New Roman"/>
        </w:rPr>
      </w:pPr>
      <w:r>
        <w:rPr>
          <w:rFonts w:ascii="Times New Roman" w:hAnsi="Times New Roman" w:eastAsia="楷体_GB2312" w:cs="Times New Roman"/>
          <w:b/>
        </w:rPr>
        <w:t>二、排放免检条件。</w:t>
      </w:r>
      <w:r>
        <w:rPr>
          <w:rFonts w:ascii="Times New Roman" w:hAnsi="Times New Roman" w:cs="Times New Roman"/>
        </w:rPr>
        <w:t>在数据统计周期内，污染物排放远程在线监控运行正常且符合</w:t>
      </w:r>
      <w:bookmarkStart w:id="2" w:name="_Hlk112874301"/>
      <w:r>
        <w:rPr>
          <w:rFonts w:ascii="Times New Roman" w:hAnsi="Times New Roman" w:cs="Times New Roman"/>
        </w:rPr>
        <w:t>《实施污染物排放远程在线监控重型柴油车免于排放检验技术要求》</w:t>
      </w:r>
      <w:bookmarkEnd w:id="2"/>
      <w:r>
        <w:rPr>
          <w:rFonts w:ascii="Times New Roman" w:hAnsi="Times New Roman" w:cs="Times New Roman"/>
        </w:rPr>
        <w:t>（见附件，以下简称《技术要求》）</w:t>
      </w:r>
    </w:p>
    <w:p w14:paraId="458B7EEA">
      <w:pPr>
        <w:tabs>
          <w:tab w:val="left" w:pos="623"/>
        </w:tabs>
        <w:spacing w:after="0" w:line="600" w:lineRule="exact"/>
        <w:ind w:firstLine="643" w:firstLineChars="200"/>
        <w:jc w:val="both"/>
        <w:rPr>
          <w:rFonts w:ascii="Times New Roman" w:hAnsi="Times New Roman" w:cs="Times New Roman"/>
        </w:rPr>
      </w:pPr>
      <w:r>
        <w:rPr>
          <w:rFonts w:ascii="Times New Roman" w:hAnsi="Times New Roman" w:eastAsia="楷体_GB2312" w:cs="Times New Roman"/>
          <w:b/>
        </w:rPr>
        <w:t>三、排放免检车辆认定。</w:t>
      </w:r>
      <w:r>
        <w:rPr>
          <w:rFonts w:ascii="Times New Roman" w:hAnsi="Times New Roman" w:cs="Times New Roman"/>
        </w:rPr>
        <w:t>上海市生态环境局根据排放免检相应条件对联网车辆进行综合评判,筛选出数据统计周期内符合排放免检的车辆。</w:t>
      </w:r>
    </w:p>
    <w:p w14:paraId="7D713A70">
      <w:pPr>
        <w:tabs>
          <w:tab w:val="left" w:pos="623"/>
        </w:tabs>
        <w:spacing w:after="0" w:line="600" w:lineRule="exact"/>
        <w:ind w:firstLine="643" w:firstLineChars="200"/>
        <w:jc w:val="both"/>
        <w:rPr>
          <w:rFonts w:ascii="Times New Roman" w:hAnsi="Times New Roman" w:cs="Times New Roman"/>
        </w:rPr>
      </w:pPr>
      <w:r>
        <w:rPr>
          <w:rFonts w:ascii="Times New Roman" w:hAnsi="Times New Roman" w:eastAsia="楷体_GB2312" w:cs="Times New Roman"/>
          <w:b/>
        </w:rPr>
        <w:t>四、排放免检情况查询。</w:t>
      </w:r>
      <w:r>
        <w:rPr>
          <w:rFonts w:ascii="Times New Roman" w:hAnsi="Times New Roman" w:cs="Times New Roman"/>
        </w:rPr>
        <w:t>登录上海市生态环境局网站（</w:t>
      </w:r>
      <w:r>
        <w:fldChar w:fldCharType="begin"/>
      </w:r>
      <w:r>
        <w:instrText xml:space="preserve"> HYPERLINK "http://sthj.sh.gov.cn" </w:instrText>
      </w:r>
      <w:r>
        <w:fldChar w:fldCharType="separate"/>
      </w:r>
      <w:r>
        <w:rPr>
          <w:rStyle w:val="19"/>
          <w:rFonts w:ascii="Times New Roman" w:hAnsi="Times New Roman" w:cs="Times New Roman"/>
        </w:rPr>
        <w:t>http://sthj.sh.gov.cn</w:t>
      </w:r>
      <w:r>
        <w:rPr>
          <w:rStyle w:val="19"/>
          <w:rFonts w:ascii="Times New Roman" w:hAnsi="Times New Roman" w:cs="Times New Roman"/>
        </w:rPr>
        <w:fldChar w:fldCharType="end"/>
      </w:r>
      <w:r>
        <w:rPr>
          <w:rFonts w:ascii="Times New Roman" w:hAnsi="Times New Roman" w:cs="Times New Roman"/>
        </w:rPr>
        <w:t>）查询符合排放免检的车辆信息，也可咨询上海市各机动车排放检验机构。对“排放免检车辆”认定有异议的，可</w:t>
      </w:r>
      <w:r>
        <w:rPr>
          <w:rFonts w:hint="eastAsia" w:ascii="Times New Roman" w:hAnsi="Times New Roman" w:cs="Times New Roman"/>
        </w:rPr>
        <w:t>及时向上海市生态环境局反馈</w:t>
      </w:r>
      <w:r>
        <w:rPr>
          <w:rFonts w:ascii="Times New Roman" w:hAnsi="Times New Roman" w:cs="Times New Roman"/>
        </w:rPr>
        <w:t>。</w:t>
      </w:r>
    </w:p>
    <w:p w14:paraId="5883A67F">
      <w:pPr>
        <w:tabs>
          <w:tab w:val="left" w:pos="623"/>
        </w:tabs>
        <w:spacing w:after="0" w:line="600" w:lineRule="exact"/>
        <w:ind w:firstLine="643" w:firstLineChars="200"/>
        <w:jc w:val="both"/>
        <w:rPr>
          <w:rFonts w:ascii="Times New Roman" w:hAnsi="Times New Roman" w:cs="Times New Roman"/>
        </w:rPr>
      </w:pPr>
      <w:r>
        <w:rPr>
          <w:rFonts w:ascii="Times New Roman" w:hAnsi="Times New Roman" w:eastAsia="楷体_GB2312" w:cs="Times New Roman"/>
          <w:b/>
        </w:rPr>
        <w:t>五、其他。</w:t>
      </w:r>
      <w:r>
        <w:rPr>
          <w:rFonts w:ascii="Times New Roman" w:hAnsi="Times New Roman" w:cs="Times New Roman"/>
        </w:rPr>
        <w:t>全市各机动车排放检验机构对排放免检车辆不再收取排放检验费用，排放免检车辆视作通过定期排放检验，但仍需按规定参加安全技术检验。</w:t>
      </w:r>
    </w:p>
    <w:p w14:paraId="0088D02A">
      <w:pPr>
        <w:tabs>
          <w:tab w:val="left" w:pos="623"/>
        </w:tabs>
        <w:spacing w:after="0" w:line="600" w:lineRule="exact"/>
        <w:ind w:firstLine="640" w:firstLineChars="200"/>
        <w:jc w:val="both"/>
        <w:rPr>
          <w:rFonts w:ascii="Times New Roman" w:hAnsi="Times New Roman" w:cs="Times New Roman"/>
        </w:rPr>
      </w:pPr>
      <w:r>
        <w:rPr>
          <w:rFonts w:ascii="Times New Roman" w:hAnsi="Times New Roman" w:cs="Times New Roman"/>
        </w:rPr>
        <w:t>本通告自 2027 年 1 月 1 日起施行，有效期至 2031年 12 月31日。特此通告。</w:t>
      </w:r>
    </w:p>
    <w:p w14:paraId="1E783283">
      <w:pPr>
        <w:tabs>
          <w:tab w:val="left" w:pos="623"/>
        </w:tabs>
        <w:spacing w:after="0" w:line="600" w:lineRule="exact"/>
        <w:rPr>
          <w:rFonts w:ascii="Times New Roman" w:hAnsi="Times New Roman" w:cs="Times New Roman"/>
        </w:rPr>
      </w:pPr>
    </w:p>
    <w:p w14:paraId="59DB82AC">
      <w:pPr>
        <w:tabs>
          <w:tab w:val="left" w:pos="623"/>
        </w:tabs>
        <w:spacing w:after="0" w:line="600" w:lineRule="exact"/>
        <w:ind w:firstLine="640" w:firstLineChars="200"/>
        <w:rPr>
          <w:rFonts w:ascii="Times New Roman" w:hAnsi="Times New Roman" w:cs="Times New Roman"/>
        </w:rPr>
      </w:pPr>
      <w:r>
        <w:rPr>
          <w:rFonts w:ascii="Times New Roman" w:hAnsi="Times New Roman" w:cs="Times New Roman"/>
        </w:rPr>
        <w:t>附件：《</w:t>
      </w:r>
      <w:bookmarkStart w:id="3" w:name="_Hlk112874324"/>
      <w:r>
        <w:rPr>
          <w:rFonts w:ascii="Times New Roman" w:hAnsi="Times New Roman" w:cs="Times New Roman"/>
        </w:rPr>
        <w:t>实施</w:t>
      </w:r>
      <w:r>
        <w:rPr>
          <w:rFonts w:ascii="Times New Roman" w:hAnsi="Times New Roman" w:cs="Times New Roman"/>
          <w:bCs/>
        </w:rPr>
        <w:t>污染物排放远程在线监控</w:t>
      </w:r>
      <w:r>
        <w:rPr>
          <w:rFonts w:ascii="Times New Roman" w:hAnsi="Times New Roman" w:cs="Times New Roman"/>
        </w:rPr>
        <w:t>重型柴油车免于排放检验技术要求</w:t>
      </w:r>
      <w:bookmarkEnd w:id="3"/>
      <w:r>
        <w:rPr>
          <w:rFonts w:ascii="Times New Roman" w:hAnsi="Times New Roman" w:cs="Times New Roman"/>
        </w:rPr>
        <w:t>》</w:t>
      </w:r>
    </w:p>
    <w:p w14:paraId="3546115C">
      <w:pPr>
        <w:tabs>
          <w:tab w:val="left" w:pos="623"/>
        </w:tabs>
        <w:spacing w:line="360" w:lineRule="auto"/>
        <w:ind w:firstLine="640" w:firstLineChars="200"/>
        <w:rPr>
          <w:rFonts w:hint="eastAsia"/>
        </w:rPr>
      </w:pPr>
    </w:p>
    <w:p w14:paraId="1A7259B9">
      <w:pPr>
        <w:tabs>
          <w:tab w:val="left" w:pos="623"/>
        </w:tabs>
        <w:spacing w:line="360" w:lineRule="auto"/>
        <w:jc w:val="right"/>
        <w:rPr>
          <w:rFonts w:hint="eastAsia"/>
        </w:rPr>
      </w:pPr>
      <w:r>
        <w:rPr>
          <w:rFonts w:hint="eastAsia"/>
        </w:rPr>
        <w:t>上海市生态环境局</w:t>
      </w:r>
      <w:r>
        <w:t xml:space="preserve"> </w:t>
      </w:r>
      <w:r>
        <w:rPr>
          <w:rFonts w:hint="eastAsia"/>
        </w:rPr>
        <w:t>上海市公安局</w:t>
      </w:r>
    </w:p>
    <w:p w14:paraId="7825F256">
      <w:pPr>
        <w:tabs>
          <w:tab w:val="left" w:pos="623"/>
        </w:tabs>
        <w:spacing w:line="360" w:lineRule="auto"/>
        <w:ind w:firstLine="640" w:firstLineChars="200"/>
        <w:jc w:val="center"/>
        <w:rPr>
          <w:rFonts w:hint="eastAsia"/>
        </w:rPr>
      </w:pPr>
      <w:r>
        <w:t xml:space="preserve">                           202</w:t>
      </w:r>
      <w:r>
        <w:rPr>
          <w:rFonts w:hint="eastAsia"/>
        </w:rPr>
        <w:t>6</w:t>
      </w:r>
      <w:r>
        <w:t>年 月 日</w:t>
      </w:r>
    </w:p>
    <w:p w14:paraId="7C16157D">
      <w:pPr>
        <w:pageBreakBefore/>
        <w:rPr>
          <w:rFonts w:hint="eastAsia"/>
        </w:rPr>
      </w:pPr>
      <w:r>
        <w:rPr>
          <w:rFonts w:eastAsia="黑体"/>
        </w:rPr>
        <w:t>附件</w:t>
      </w:r>
    </w:p>
    <w:p w14:paraId="0F1BE59F">
      <w:pPr>
        <w:spacing w:before="200" w:after="100" w:line="600" w:lineRule="exact"/>
        <w:jc w:val="center"/>
        <w:rPr>
          <w:rFonts w:hint="eastAsia"/>
        </w:rPr>
      </w:pPr>
      <w:r>
        <w:rPr>
          <w:rFonts w:eastAsia="方正小标宋简体"/>
          <w:sz w:val="44"/>
          <w:szCs w:val="44"/>
        </w:rPr>
        <w:t>实施污染物排放远程在线监控重型柴油车</w:t>
      </w:r>
    </w:p>
    <w:p w14:paraId="32E3F710">
      <w:pPr>
        <w:spacing w:after="400" w:line="600" w:lineRule="exact"/>
        <w:jc w:val="center"/>
        <w:rPr>
          <w:rFonts w:hint="eastAsia"/>
        </w:rPr>
      </w:pPr>
      <w:r>
        <w:rPr>
          <w:rFonts w:eastAsia="方正小标宋简体"/>
          <w:sz w:val="44"/>
          <w:szCs w:val="44"/>
        </w:rPr>
        <w:t>免于排放检验技术要求</w:t>
      </w:r>
    </w:p>
    <w:p w14:paraId="61851CBF">
      <w:pPr>
        <w:spacing w:line="560" w:lineRule="exact"/>
        <w:ind w:firstLine="640"/>
        <w:jc w:val="both"/>
        <w:rPr>
          <w:rFonts w:hint="eastAsia"/>
        </w:rPr>
      </w:pPr>
      <w:r>
        <w:t>本文件规定了重型柴油车实施污染物排放远程在线监控免于排放检验的终端联网数据传输质量要求、数据有效性要求、氮氧化物排放限值要求及其判定方法。</w:t>
      </w:r>
    </w:p>
    <w:p w14:paraId="38EAA53A">
      <w:pPr>
        <w:spacing w:before="100" w:line="560" w:lineRule="exact"/>
        <w:ind w:firstLine="640"/>
        <w:jc w:val="both"/>
        <w:rPr>
          <w:rFonts w:hint="eastAsia"/>
        </w:rPr>
      </w:pPr>
      <w:r>
        <w:rPr>
          <w:rFonts w:eastAsia="黑体"/>
        </w:rPr>
        <w:t>1. 适用范围</w:t>
      </w:r>
    </w:p>
    <w:p w14:paraId="36D9615F">
      <w:pPr>
        <w:spacing w:line="560" w:lineRule="exact"/>
        <w:ind w:firstLine="640"/>
        <w:jc w:val="both"/>
        <w:rPr>
          <w:rFonts w:hint="eastAsia"/>
        </w:rPr>
      </w:pPr>
      <w:r>
        <w:t>安装污染物排放远程在线监控终端并接入上海市重型柴油车远程在线监控平台，且在上海市内检验的沪牌重型柴油车。</w:t>
      </w:r>
    </w:p>
    <w:p w14:paraId="2B1F8057">
      <w:pPr>
        <w:spacing w:before="100" w:line="560" w:lineRule="exact"/>
        <w:ind w:firstLine="640"/>
        <w:jc w:val="both"/>
        <w:rPr>
          <w:rFonts w:hint="eastAsia"/>
        </w:rPr>
      </w:pPr>
      <w:r>
        <w:rPr>
          <w:rFonts w:eastAsia="黑体"/>
        </w:rPr>
        <w:t>2. 规范性引用文件</w:t>
      </w:r>
    </w:p>
    <w:p w14:paraId="6755FEA9">
      <w:pPr>
        <w:spacing w:line="560" w:lineRule="exact"/>
        <w:ind w:firstLine="640"/>
        <w:jc w:val="both"/>
        <w:rPr>
          <w:rFonts w:hint="eastAsia"/>
        </w:rPr>
      </w:pPr>
      <w:r>
        <w:t>下列文件中的内容通过文中的规范性引用而构成本文件必不可少的条款。其中，注日期的引用文件，仅该日期对应的版本适用于本文件；不注日期的引用文件，其最新版本（包括所有的修改单）适用于本文件。</w:t>
      </w:r>
    </w:p>
    <w:p w14:paraId="29532FB6">
      <w:pPr>
        <w:spacing w:line="560" w:lineRule="exact"/>
        <w:ind w:firstLine="640"/>
        <w:jc w:val="both"/>
        <w:rPr>
          <w:rFonts w:hint="eastAsia"/>
        </w:rPr>
      </w:pPr>
      <w:r>
        <w:t>GB 17691-2005 车用压燃式、气体燃料点燃式发动机与汽车排气污染物排放限值及其测量方法（中国Ⅲ、Ⅳ、Ⅴ阶段）</w:t>
      </w:r>
    </w:p>
    <w:p w14:paraId="3C6E17C3">
      <w:pPr>
        <w:spacing w:line="560" w:lineRule="exact"/>
        <w:ind w:firstLine="640"/>
        <w:jc w:val="both"/>
        <w:rPr>
          <w:rFonts w:hint="eastAsia"/>
        </w:rPr>
      </w:pPr>
      <w:r>
        <w:t>GB 17691-2018 重型柴油车污染物排放限值及测量方法（中国第六阶段）</w:t>
      </w:r>
    </w:p>
    <w:p w14:paraId="2D82C75D">
      <w:pPr>
        <w:spacing w:line="560" w:lineRule="exact"/>
        <w:ind w:firstLine="640"/>
        <w:jc w:val="both"/>
        <w:rPr>
          <w:rFonts w:hint="eastAsia"/>
        </w:rPr>
      </w:pPr>
      <w:r>
        <w:t>GB 3847-2018 柴油车污染物排放限值及测量方法（自由加速法及加载减速法）</w:t>
      </w:r>
    </w:p>
    <w:p w14:paraId="0429C8F5">
      <w:pPr>
        <w:spacing w:line="560" w:lineRule="exact"/>
        <w:ind w:firstLine="640"/>
        <w:jc w:val="both"/>
        <w:rPr>
          <w:rFonts w:hint="eastAsia"/>
        </w:rPr>
      </w:pPr>
      <w:r>
        <w:t>HJ 857-2017 重型柴油车、气体燃料车排气污染物车载测量方法及技术要求</w:t>
      </w:r>
    </w:p>
    <w:p w14:paraId="2939BE2A">
      <w:pPr>
        <w:spacing w:line="560" w:lineRule="exact"/>
        <w:ind w:firstLine="640"/>
        <w:jc w:val="both"/>
        <w:rPr>
          <w:rFonts w:hint="eastAsia"/>
        </w:rPr>
      </w:pPr>
      <w:r>
        <w:t>HJ 1237-2021 机动车排放定期检验规范</w:t>
      </w:r>
    </w:p>
    <w:p w14:paraId="414CF703">
      <w:pPr>
        <w:spacing w:line="560" w:lineRule="exact"/>
        <w:ind w:firstLine="640"/>
        <w:jc w:val="both"/>
        <w:rPr>
          <w:rFonts w:hint="eastAsia"/>
        </w:rPr>
      </w:pPr>
      <w:r>
        <w:t>HJ 1239.1-2021 重型车排放远程监控技术规范 第1部分 车载终端</w:t>
      </w:r>
    </w:p>
    <w:p w14:paraId="0E840E01">
      <w:pPr>
        <w:spacing w:line="560" w:lineRule="exact"/>
        <w:ind w:firstLine="640"/>
        <w:jc w:val="both"/>
        <w:rPr>
          <w:rFonts w:hint="eastAsia"/>
        </w:rPr>
      </w:pPr>
      <w:r>
        <w:t>HJ 1239.3-2021 重型车排放远程监控技术规范 第3部分 通讯协议及数据格式</w:t>
      </w:r>
    </w:p>
    <w:p w14:paraId="07A490EA">
      <w:pPr>
        <w:spacing w:before="100" w:line="560" w:lineRule="exact"/>
        <w:ind w:firstLine="640"/>
        <w:jc w:val="both"/>
        <w:rPr>
          <w:rFonts w:hint="eastAsia"/>
        </w:rPr>
      </w:pPr>
      <w:r>
        <w:rPr>
          <w:rFonts w:eastAsia="黑体"/>
        </w:rPr>
        <w:t>3. 术语和定义</w:t>
      </w:r>
    </w:p>
    <w:p w14:paraId="3F195DFA">
      <w:pPr>
        <w:spacing w:line="560" w:lineRule="exact"/>
        <w:ind w:firstLine="640"/>
        <w:jc w:val="both"/>
        <w:rPr>
          <w:rFonts w:hint="eastAsia"/>
        </w:rPr>
      </w:pPr>
      <w:r>
        <w:t>下列术语和定义适用于本文件。</w:t>
      </w:r>
    </w:p>
    <w:p w14:paraId="136F825D">
      <w:pPr>
        <w:spacing w:before="100" w:line="560" w:lineRule="exact"/>
        <w:ind w:firstLine="640"/>
        <w:jc w:val="both"/>
        <w:rPr>
          <w:rFonts w:hint="eastAsia"/>
        </w:rPr>
      </w:pPr>
      <w:r>
        <w:rPr>
          <w:rFonts w:eastAsia="黑体"/>
        </w:rPr>
        <w:t>3.1 重型柴油车 heavy duty diesel vehicle</w:t>
      </w:r>
    </w:p>
    <w:p w14:paraId="1D01BD56">
      <w:pPr>
        <w:spacing w:line="560" w:lineRule="exact"/>
        <w:ind w:firstLine="640"/>
        <w:jc w:val="both"/>
        <w:rPr>
          <w:rFonts w:hint="eastAsia"/>
        </w:rPr>
      </w:pPr>
      <w:r>
        <w:t>装用压燃式、气体燃料点燃式发动机的M2、M3、N1、N2和N3类及总质量大于3500kg的M1类汽车。</w:t>
      </w:r>
    </w:p>
    <w:p w14:paraId="14CE2BE9">
      <w:pPr>
        <w:spacing w:before="100" w:line="560" w:lineRule="exact"/>
        <w:ind w:firstLine="640"/>
        <w:jc w:val="both"/>
        <w:rPr>
          <w:rFonts w:hint="eastAsia"/>
        </w:rPr>
      </w:pPr>
      <w:r>
        <w:rPr>
          <w:rFonts w:eastAsia="黑体"/>
        </w:rPr>
        <w:t>3.2 在用汽车检验 inspection for in-use vehicle</w:t>
      </w:r>
    </w:p>
    <w:p w14:paraId="363D09AA">
      <w:pPr>
        <w:spacing w:line="560" w:lineRule="exact"/>
        <w:ind w:firstLine="640"/>
        <w:jc w:val="both"/>
        <w:rPr>
          <w:rFonts w:hint="eastAsia"/>
        </w:rPr>
      </w:pPr>
      <w:r>
        <w:t>指对已经注册登记的汽车的检验，包括在用汽车定期检验、监督性抽检及在用汽车办理变更登记和转移登记前的检验。</w:t>
      </w:r>
    </w:p>
    <w:p w14:paraId="65789067">
      <w:pPr>
        <w:spacing w:before="100" w:line="560" w:lineRule="exact"/>
        <w:ind w:firstLine="640"/>
        <w:jc w:val="both"/>
        <w:rPr>
          <w:rFonts w:hint="eastAsia"/>
        </w:rPr>
      </w:pPr>
      <w:r>
        <w:rPr>
          <w:rFonts w:eastAsia="黑体"/>
        </w:rPr>
        <w:t>3.3 排放免检 exempt from emission inspection</w:t>
      </w:r>
    </w:p>
    <w:p w14:paraId="76E818A4">
      <w:pPr>
        <w:spacing w:line="560" w:lineRule="exact"/>
        <w:ind w:firstLine="640"/>
        <w:jc w:val="both"/>
        <w:rPr>
          <w:rFonts w:hint="eastAsia"/>
        </w:rPr>
      </w:pPr>
      <w:r>
        <w:t>按照要求安装车载终端并稳定上传数据，且排放达到要求的汽车，可以免于环保定期检验的上线检测。</w:t>
      </w:r>
    </w:p>
    <w:p w14:paraId="08592F33">
      <w:pPr>
        <w:spacing w:before="100" w:line="560" w:lineRule="exact"/>
        <w:ind w:firstLine="640"/>
        <w:jc w:val="both"/>
        <w:rPr>
          <w:rFonts w:hint="eastAsia"/>
        </w:rPr>
      </w:pPr>
      <w:r>
        <w:rPr>
          <w:rFonts w:eastAsia="黑体"/>
        </w:rPr>
        <w:t xml:space="preserve">3.4 车载排放诊断系统（OBD </w:t>
      </w:r>
      <w:r>
        <w:rPr>
          <w:rFonts w:hint="eastAsia" w:eastAsia="黑体"/>
          <w:lang w:eastAsia="zh-CN"/>
        </w:rPr>
        <w:t>系统</w:t>
      </w:r>
      <w:r>
        <w:rPr>
          <w:rFonts w:eastAsia="黑体"/>
        </w:rPr>
        <w:t>） on-board diagnostic system</w:t>
      </w:r>
    </w:p>
    <w:p w14:paraId="6F4CB88C">
      <w:pPr>
        <w:spacing w:line="560" w:lineRule="exact"/>
        <w:ind w:firstLine="640"/>
        <w:jc w:val="both"/>
        <w:rPr>
          <w:rFonts w:hint="eastAsia"/>
        </w:rPr>
      </w:pPr>
      <w:r>
        <w:t>指安装在汽车和发动机上的计算机信息系统，属于污染控制装置，应具备下列功能：</w:t>
      </w:r>
    </w:p>
    <w:p w14:paraId="6B96D6C2">
      <w:pPr>
        <w:spacing w:line="560" w:lineRule="exact"/>
        <w:ind w:firstLine="640"/>
        <w:jc w:val="both"/>
        <w:rPr>
          <w:rFonts w:hint="eastAsia"/>
        </w:rPr>
      </w:pPr>
      <w:r>
        <w:t>a） 诊断影响发动机排放性能的故障；</w:t>
      </w:r>
    </w:p>
    <w:p w14:paraId="35554FD2">
      <w:pPr>
        <w:spacing w:line="560" w:lineRule="exact"/>
        <w:ind w:firstLine="640"/>
        <w:jc w:val="both"/>
        <w:rPr>
          <w:rFonts w:hint="eastAsia"/>
        </w:rPr>
      </w:pPr>
      <w:r>
        <w:t>b） 在故障发生时通过报警系统显示；</w:t>
      </w:r>
    </w:p>
    <w:p w14:paraId="4369C1F5">
      <w:pPr>
        <w:spacing w:line="560" w:lineRule="exact"/>
        <w:ind w:firstLine="640"/>
        <w:jc w:val="both"/>
        <w:rPr>
          <w:rFonts w:hint="eastAsia"/>
        </w:rPr>
      </w:pPr>
      <w:r>
        <w:t>c） 通过存储在电控单元存储器中的信息确定可能的故障区域并提供信息离线通讯。</w:t>
      </w:r>
    </w:p>
    <w:p w14:paraId="20D684BE">
      <w:pPr>
        <w:spacing w:before="100" w:line="560" w:lineRule="exact"/>
        <w:ind w:firstLine="640"/>
        <w:jc w:val="both"/>
        <w:rPr>
          <w:rFonts w:hint="eastAsia"/>
        </w:rPr>
      </w:pPr>
      <w:r>
        <w:rPr>
          <w:rFonts w:eastAsia="黑体"/>
        </w:rPr>
        <w:t>3.5 故障 malfunction</w:t>
      </w:r>
    </w:p>
    <w:p w14:paraId="03B6E02A">
      <w:pPr>
        <w:spacing w:line="560" w:lineRule="exact"/>
        <w:ind w:firstLine="640"/>
        <w:jc w:val="both"/>
        <w:rPr>
          <w:rFonts w:hint="eastAsia"/>
        </w:rPr>
      </w:pPr>
      <w:r>
        <w:t>会导致发动机规定污染物排放量增加或OBD系统效率降低的发动机系统（包括OBD系统）失效或劣化。</w:t>
      </w:r>
    </w:p>
    <w:p w14:paraId="79BFC375">
      <w:pPr>
        <w:spacing w:before="100" w:line="560" w:lineRule="exact"/>
        <w:ind w:firstLine="640"/>
        <w:jc w:val="both"/>
        <w:rPr>
          <w:rFonts w:hint="eastAsia"/>
        </w:rPr>
      </w:pPr>
      <w:r>
        <w:rPr>
          <w:rFonts w:eastAsia="黑体"/>
        </w:rPr>
        <w:t>3.6 故障指示器（MI） malfunction indicator</w:t>
      </w:r>
    </w:p>
    <w:p w14:paraId="04B300FB">
      <w:pPr>
        <w:spacing w:line="560" w:lineRule="exact"/>
        <w:ind w:firstLine="640"/>
        <w:jc w:val="both"/>
        <w:rPr>
          <w:rFonts w:hint="eastAsia"/>
        </w:rPr>
      </w:pPr>
      <w:r>
        <w:t>在发生故障时能清楚地通知车辆驾驶员的指示器，属于报警系统的一部分。</w:t>
      </w:r>
    </w:p>
    <w:p w14:paraId="6750757F">
      <w:pPr>
        <w:spacing w:before="100" w:line="560" w:lineRule="exact"/>
        <w:ind w:firstLine="640"/>
        <w:jc w:val="both"/>
        <w:rPr>
          <w:rFonts w:hint="eastAsia"/>
        </w:rPr>
      </w:pPr>
      <w:r>
        <w:rPr>
          <w:rFonts w:eastAsia="黑体"/>
        </w:rPr>
        <w:t>3.7 故障码 diagnostic trouble code DTC</w:t>
      </w:r>
    </w:p>
    <w:p w14:paraId="5A66CFE9">
      <w:pPr>
        <w:spacing w:line="560" w:lineRule="exact"/>
        <w:ind w:firstLine="640"/>
        <w:jc w:val="both"/>
        <w:rPr>
          <w:rFonts w:hint="eastAsia"/>
        </w:rPr>
      </w:pPr>
      <w:r>
        <w:t>是指能够代表或标示出故障的一组数字或字母数字组合。</w:t>
      </w:r>
    </w:p>
    <w:p w14:paraId="30FCC08B">
      <w:pPr>
        <w:spacing w:before="100" w:line="560" w:lineRule="exact"/>
        <w:ind w:firstLine="640"/>
        <w:jc w:val="both"/>
        <w:rPr>
          <w:rFonts w:hint="eastAsia"/>
        </w:rPr>
      </w:pPr>
      <w:r>
        <w:rPr>
          <w:rFonts w:eastAsia="黑体"/>
        </w:rPr>
        <w:t>3.8 污染物排放远程在线监控车载终端 on-board remote emission management box</w:t>
      </w:r>
    </w:p>
    <w:p w14:paraId="378EF838">
      <w:pPr>
        <w:spacing w:line="560" w:lineRule="exact"/>
        <w:ind w:firstLine="640"/>
        <w:jc w:val="both"/>
        <w:rPr>
          <w:rFonts w:hint="eastAsia"/>
        </w:rPr>
      </w:pPr>
      <w:r>
        <w:t>污染物排放远程在线监控车载终端（以下简称“车载终端”）指安装在被监控车辆OBD接口上，用于采集、存储和传输车辆OBD信息、发动机信息、排放数据、经纬度等数据的装置。包括独立数据采集设备、集成于行车电脑系统内的模块或可实现同等效果的其它形式。</w:t>
      </w:r>
    </w:p>
    <w:p w14:paraId="05E24787">
      <w:pPr>
        <w:spacing w:before="100" w:line="560" w:lineRule="exact"/>
        <w:ind w:firstLine="640"/>
        <w:jc w:val="both"/>
        <w:rPr>
          <w:rFonts w:hint="eastAsia"/>
        </w:rPr>
      </w:pPr>
      <w:r>
        <w:rPr>
          <w:rFonts w:eastAsia="黑体"/>
        </w:rPr>
        <w:t>3.9 排气后处理系统 exhaust after-treatment system</w:t>
      </w:r>
    </w:p>
    <w:p w14:paraId="656B4842">
      <w:pPr>
        <w:spacing w:line="560" w:lineRule="exact"/>
        <w:ind w:firstLine="640"/>
        <w:jc w:val="both"/>
        <w:rPr>
          <w:rFonts w:hint="eastAsia"/>
        </w:rPr>
      </w:pPr>
      <w:r>
        <w:t>催化器（氧化型催化器、三元催化器，以及任何气体催化器）、颗粒捕集器，除氮氧系统、组合式降氮氧系统的颗粒捕集器，以及其它各种安装在发动机下游的削减污染物的装置。</w:t>
      </w:r>
    </w:p>
    <w:p w14:paraId="68899999">
      <w:pPr>
        <w:spacing w:before="100" w:line="560" w:lineRule="exact"/>
        <w:ind w:firstLine="640"/>
        <w:jc w:val="both"/>
        <w:rPr>
          <w:rFonts w:hint="eastAsia"/>
        </w:rPr>
      </w:pPr>
      <w:r>
        <w:rPr>
          <w:rFonts w:eastAsia="黑体"/>
        </w:rPr>
        <w:t>3.10 选择性催化还原系统（SCR系统） selective catalytic reduction system</w:t>
      </w:r>
    </w:p>
    <w:p w14:paraId="7C7A2D8E">
      <w:pPr>
        <w:spacing w:line="560" w:lineRule="exact"/>
        <w:ind w:firstLine="640"/>
        <w:jc w:val="both"/>
        <w:rPr>
          <w:rFonts w:hint="eastAsia"/>
        </w:rPr>
      </w:pPr>
      <w:r>
        <w:t>在催化剂作用下，氨基还原剂与机动车排气中氮氧化物（NOx）发生化学反应生成氮气和水的一种后处理系统。</w:t>
      </w:r>
    </w:p>
    <w:p w14:paraId="2167F7EF">
      <w:pPr>
        <w:spacing w:before="100" w:line="560" w:lineRule="exact"/>
        <w:ind w:firstLine="640"/>
        <w:jc w:val="both"/>
        <w:rPr>
          <w:rFonts w:hint="eastAsia"/>
        </w:rPr>
      </w:pPr>
      <w:r>
        <w:rPr>
          <w:rFonts w:eastAsia="黑体"/>
        </w:rPr>
        <w:t>3.11 关键数据项 key data items</w:t>
      </w:r>
    </w:p>
    <w:p w14:paraId="2EAB0558">
      <w:pPr>
        <w:spacing w:line="560" w:lineRule="exact"/>
        <w:ind w:firstLine="640"/>
        <w:jc w:val="both"/>
        <w:rPr>
          <w:rFonts w:hint="eastAsia"/>
        </w:rPr>
      </w:pPr>
      <w:r>
        <w:t>指车载终端获取并按要求上传的发动机转速、SCR下游NOx传感器输出值（后处理下游氮氧浓度）、反应剂余量（尿素箱液位）、发动机冷却液温度、经度、纬度、车速。</w:t>
      </w:r>
    </w:p>
    <w:p w14:paraId="6DD096A3">
      <w:pPr>
        <w:spacing w:before="100" w:line="560" w:lineRule="exact"/>
        <w:ind w:firstLine="640"/>
        <w:jc w:val="both"/>
        <w:rPr>
          <w:rFonts w:hint="eastAsia"/>
        </w:rPr>
      </w:pPr>
      <w:r>
        <w:rPr>
          <w:rFonts w:eastAsia="黑体"/>
        </w:rPr>
        <w:t>3.12 数据包 data packet</w:t>
      </w:r>
    </w:p>
    <w:p w14:paraId="0BE53A72">
      <w:pPr>
        <w:spacing w:line="560" w:lineRule="exact"/>
        <w:ind w:firstLine="640"/>
        <w:jc w:val="both"/>
        <w:rPr>
          <w:rFonts w:hint="eastAsia"/>
        </w:rPr>
      </w:pPr>
      <w:r>
        <w:t>数据类型和传输规则符合GB/T32960.3附录B.3.1的要求。协议应采用大端模式的网络字节序来传递字和双字。数据包中包含数据采集时间、关键数据项、故障指示器状态等信息。</w:t>
      </w:r>
    </w:p>
    <w:p w14:paraId="578A3864">
      <w:pPr>
        <w:spacing w:before="100" w:line="560" w:lineRule="exact"/>
        <w:ind w:firstLine="640"/>
        <w:jc w:val="both"/>
        <w:rPr>
          <w:rFonts w:hint="eastAsia"/>
        </w:rPr>
      </w:pPr>
      <w:r>
        <w:rPr>
          <w:rFonts w:eastAsia="黑体"/>
        </w:rPr>
        <w:t>4. 数据统计周期</w:t>
      </w:r>
    </w:p>
    <w:p w14:paraId="44E6CF69">
      <w:pPr>
        <w:spacing w:line="560" w:lineRule="exact"/>
        <w:ind w:firstLine="640"/>
        <w:jc w:val="both"/>
        <w:rPr>
          <w:rFonts w:hint="eastAsia"/>
        </w:rPr>
      </w:pPr>
      <w:r>
        <w:t>注册登记后首次参加定期检验的车辆，数据统计周期为车辆注册登记时间到首次定期检验截止日期前第4个月的最后一天。</w:t>
      </w:r>
    </w:p>
    <w:p w14:paraId="5EB67678">
      <w:pPr>
        <w:spacing w:line="560" w:lineRule="exact"/>
        <w:ind w:firstLine="640"/>
        <w:jc w:val="both"/>
        <w:rPr>
          <w:rFonts w:hint="eastAsia"/>
        </w:rPr>
      </w:pPr>
      <w:r>
        <w:t>注册登记后已参加定期检验的车辆，数据统计周期为上一年度定期检验截止日期前第4个月最后一天后的12个月。</w:t>
      </w:r>
    </w:p>
    <w:p w14:paraId="38B97F41">
      <w:pPr>
        <w:spacing w:before="100" w:line="560" w:lineRule="exact"/>
        <w:ind w:firstLine="640"/>
        <w:jc w:val="both"/>
        <w:rPr>
          <w:rFonts w:hint="eastAsia"/>
        </w:rPr>
      </w:pPr>
      <w:r>
        <w:rPr>
          <w:rFonts w:eastAsia="黑体"/>
        </w:rPr>
        <w:t>5. 技术要求</w:t>
      </w:r>
    </w:p>
    <w:p w14:paraId="348EDB13">
      <w:pPr>
        <w:spacing w:before="100" w:line="560" w:lineRule="exact"/>
        <w:ind w:firstLine="640"/>
        <w:jc w:val="both"/>
        <w:rPr>
          <w:rFonts w:hint="eastAsia"/>
        </w:rPr>
      </w:pPr>
      <w:r>
        <w:rPr>
          <w:rFonts w:eastAsia="黑体"/>
        </w:rPr>
        <w:t>5.1 基本要求</w:t>
      </w:r>
    </w:p>
    <w:p w14:paraId="39D966BD">
      <w:pPr>
        <w:spacing w:line="560" w:lineRule="exact"/>
        <w:ind w:firstLine="640"/>
        <w:jc w:val="both"/>
        <w:rPr>
          <w:rFonts w:hint="eastAsia"/>
        </w:rPr>
      </w:pPr>
      <w:r>
        <w:t>车辆在数据统计周期内不得存在以下情形：擅自拆除、闲置或破坏车载排放诊断系统、车载终端</w:t>
      </w:r>
      <w:r>
        <w:rPr>
          <w:rFonts w:hint="eastAsia"/>
        </w:rPr>
        <w:t>；</w:t>
      </w:r>
      <w:r>
        <w:t>删除或修改车载终端数据</w:t>
      </w:r>
      <w:r>
        <w:rPr>
          <w:rFonts w:hint="eastAsia"/>
        </w:rPr>
        <w:t>；</w:t>
      </w:r>
      <w:r>
        <w:t>车辆使用不规范</w:t>
      </w:r>
      <w:r>
        <w:rPr>
          <w:rFonts w:hint="eastAsia"/>
        </w:rPr>
        <w:t>；</w:t>
      </w:r>
      <w:r>
        <w:t>未按规定加装污染控制装置</w:t>
      </w:r>
      <w:r>
        <w:rPr>
          <w:rFonts w:hint="eastAsia"/>
        </w:rPr>
        <w:t>；</w:t>
      </w:r>
      <w:r>
        <w:t>车辆超标排放等行为。整改</w:t>
      </w:r>
      <w:r>
        <w:rPr>
          <w:rFonts w:hint="eastAsia"/>
        </w:rPr>
        <w:t>完成后</w:t>
      </w:r>
      <w:r>
        <w:t>，可</w:t>
      </w:r>
      <w:r>
        <w:rPr>
          <w:rFonts w:hint="eastAsia"/>
        </w:rPr>
        <w:t>参与</w:t>
      </w:r>
      <w:r>
        <w:t>下一</w:t>
      </w:r>
      <w:r>
        <w:rPr>
          <w:rFonts w:hint="eastAsia"/>
        </w:rPr>
        <w:t>年度免年检资格判定</w:t>
      </w:r>
      <w:r>
        <w:t>。</w:t>
      </w:r>
    </w:p>
    <w:p w14:paraId="17048D67">
      <w:pPr>
        <w:spacing w:before="100" w:line="560" w:lineRule="exact"/>
        <w:ind w:firstLine="640"/>
        <w:jc w:val="both"/>
        <w:rPr>
          <w:rFonts w:hint="eastAsia"/>
        </w:rPr>
      </w:pPr>
      <w:r>
        <w:rPr>
          <w:rFonts w:eastAsia="黑体"/>
        </w:rPr>
        <w:t>5.2 一般要求</w:t>
      </w:r>
    </w:p>
    <w:p w14:paraId="4D5C8005">
      <w:pPr>
        <w:spacing w:line="560" w:lineRule="exact"/>
        <w:ind w:firstLine="640"/>
        <w:jc w:val="both"/>
        <w:rPr>
          <w:rFonts w:hint="eastAsia"/>
        </w:rPr>
      </w:pPr>
      <w:r>
        <w:t>5.2.1 重型柴油车上安装的车载终端性能应符合GB 17691-2018，以及HJ 1239.1-2021中的相关要求。</w:t>
      </w:r>
    </w:p>
    <w:p w14:paraId="0A4601D6">
      <w:pPr>
        <w:spacing w:line="560" w:lineRule="exact"/>
        <w:ind w:firstLine="640"/>
        <w:jc w:val="both"/>
        <w:rPr>
          <w:rFonts w:hint="eastAsia"/>
        </w:rPr>
      </w:pPr>
      <w:r>
        <w:t>5.2.2 重型柴油车上安装的车载终端的采集数据内容、通讯协议和数据格式应符合GB 17691-2018，以及HJ 1239.3-2021中的相关要求。</w:t>
      </w:r>
    </w:p>
    <w:p w14:paraId="3AAC8D2B">
      <w:pPr>
        <w:spacing w:line="560" w:lineRule="exact"/>
        <w:ind w:firstLine="640"/>
        <w:jc w:val="both"/>
        <w:rPr>
          <w:rFonts w:hint="eastAsia"/>
        </w:rPr>
      </w:pPr>
      <w:r>
        <w:rPr>
          <w:rFonts w:hint="eastAsia"/>
        </w:rPr>
        <w:t>5.2.3 车辆数据统计周期内</w:t>
      </w:r>
      <w:r>
        <w:rPr>
          <w:rFonts w:hint="eastAsia"/>
          <w:lang w:eastAsia="zh-CN"/>
        </w:rPr>
        <w:t>不</w:t>
      </w:r>
      <w:r>
        <w:rPr>
          <w:rFonts w:hint="eastAsia"/>
        </w:rPr>
        <w:t>存在车载</w:t>
      </w:r>
      <w:r>
        <w:rPr>
          <w:rFonts w:hint="eastAsia"/>
          <w:lang w:eastAsia="zh-CN"/>
        </w:rPr>
        <w:t>排放</w:t>
      </w:r>
      <w:r>
        <w:rPr>
          <w:rFonts w:hint="eastAsia"/>
        </w:rPr>
        <w:t>诊断系统报警后</w:t>
      </w:r>
      <w:r>
        <w:rPr>
          <w:rFonts w:hint="eastAsia"/>
          <w:lang w:eastAsia="zh-CN"/>
        </w:rPr>
        <w:t>、</w:t>
      </w:r>
      <w:r>
        <w:rPr>
          <w:rFonts w:hint="eastAsia"/>
        </w:rPr>
        <w:t>行驶超过24小时未及时送修的记录。</w:t>
      </w:r>
    </w:p>
    <w:p w14:paraId="64E6CDE3">
      <w:pPr>
        <w:spacing w:before="100" w:line="560" w:lineRule="exact"/>
        <w:ind w:firstLine="640"/>
        <w:jc w:val="both"/>
        <w:rPr>
          <w:rFonts w:hint="eastAsia"/>
        </w:rPr>
      </w:pPr>
      <w:r>
        <w:rPr>
          <w:rFonts w:eastAsia="黑体"/>
        </w:rPr>
        <w:t>5.3 数据质量要求</w:t>
      </w:r>
    </w:p>
    <w:p w14:paraId="461E445E">
      <w:pPr>
        <w:spacing w:line="560" w:lineRule="exact"/>
        <w:ind w:firstLine="640"/>
        <w:jc w:val="both"/>
        <w:rPr>
          <w:rFonts w:hint="eastAsia"/>
        </w:rPr>
      </w:pPr>
      <w:r>
        <w:t>5.3.1 关键数据项完整性，车载终端能够正常发送以下7项数据：发动机转速、SCR下游NOx传感器输出值（后处理下游氮氧浓度）、反应剂余量（尿素箱液位）、发动机冷却液温度、经度、纬度、车速。</w:t>
      </w:r>
    </w:p>
    <w:p w14:paraId="32571E4E">
      <w:pPr>
        <w:spacing w:line="560" w:lineRule="exact"/>
        <w:ind w:firstLine="640"/>
        <w:jc w:val="both"/>
        <w:rPr>
          <w:rFonts w:hint="eastAsia"/>
        </w:rPr>
      </w:pPr>
      <w:r>
        <w:t>5.3.2 关键数据连续性，数据连续性异常率不高于10%。数据连续性异常包括：传输间隔（数据发送时间戳与接收时间戳间隔）大于2小时、数据采集频率小于1/30Hz。数据连续性异常率为存在数据连续性异常数据的数据包数量占总数据包数量的比例，详见附录A.1。</w:t>
      </w:r>
    </w:p>
    <w:p w14:paraId="57C2C6E7">
      <w:pPr>
        <w:spacing w:line="560" w:lineRule="exact"/>
        <w:ind w:firstLine="640"/>
        <w:jc w:val="both"/>
        <w:rPr>
          <w:rFonts w:hint="eastAsia"/>
        </w:rPr>
      </w:pPr>
      <w:r>
        <w:t>5.3.3 关键数据项采集内容合理性，数据内容异常率不高于10%。数据内容异常包括：时间戳异常、数据无效、数据为空白值、数据为恒值、数据超过正常阈值。数据内容异常率为数据统计周期内存在数据内容异常的数据包数量占总数据包数量的比例。详见附录A.2。</w:t>
      </w:r>
    </w:p>
    <w:p w14:paraId="73A002F9">
      <w:pPr>
        <w:spacing w:before="100" w:line="560" w:lineRule="exact"/>
        <w:ind w:firstLine="640"/>
        <w:jc w:val="both"/>
        <w:rPr>
          <w:rFonts w:hint="eastAsia"/>
        </w:rPr>
      </w:pPr>
      <w:r>
        <w:rPr>
          <w:rFonts w:eastAsia="黑体"/>
        </w:rPr>
        <w:t>5.4 车辆上线</w:t>
      </w:r>
      <w:r>
        <w:rPr>
          <w:rFonts w:hint="eastAsia" w:eastAsia="黑体"/>
        </w:rPr>
        <w:t>情况</w:t>
      </w:r>
      <w:r>
        <w:rPr>
          <w:rFonts w:eastAsia="黑体"/>
        </w:rPr>
        <w:t>要求</w:t>
      </w:r>
    </w:p>
    <w:p w14:paraId="3E49F0D8">
      <w:pPr>
        <w:spacing w:line="560" w:lineRule="exact"/>
        <w:ind w:firstLine="640"/>
        <w:jc w:val="both"/>
        <w:rPr>
          <w:rFonts w:hint="eastAsia"/>
        </w:rPr>
      </w:pPr>
      <w:r>
        <w:t>在数据统计周期内，车辆达标上线月份不少于6个月。当月上线天数不少于</w:t>
      </w:r>
      <w:r>
        <w:rPr>
          <w:rFonts w:hint="eastAsia"/>
        </w:rPr>
        <w:t>6</w:t>
      </w:r>
      <w:r>
        <w:t>天</w:t>
      </w:r>
      <w:r>
        <w:rPr>
          <w:rFonts w:hint="eastAsia"/>
        </w:rPr>
        <w:t>且符合数据质量要求</w:t>
      </w:r>
      <w:r>
        <w:t>的，计为1个达标上线月份。详见附录A.3。</w:t>
      </w:r>
    </w:p>
    <w:p w14:paraId="51D8861C">
      <w:pPr>
        <w:spacing w:before="100" w:line="560" w:lineRule="exact"/>
        <w:ind w:firstLine="640"/>
        <w:jc w:val="both"/>
        <w:rPr>
          <w:rFonts w:hint="eastAsia"/>
        </w:rPr>
      </w:pPr>
      <w:r>
        <w:rPr>
          <w:rFonts w:eastAsia="黑体"/>
        </w:rPr>
        <w:t>5.5 NOx排放限值要求</w:t>
      </w:r>
    </w:p>
    <w:p w14:paraId="7DA1D959">
      <w:pPr>
        <w:spacing w:line="560" w:lineRule="exact"/>
        <w:ind w:firstLine="640"/>
        <w:jc w:val="both"/>
        <w:rPr>
          <w:rFonts w:hint="eastAsia"/>
        </w:rPr>
      </w:pPr>
      <w:r>
        <w:t>在数据统计周期内，有效数据中氮氧化物瞬时浓度值小于等于</w:t>
      </w:r>
      <w:r>
        <w:rPr>
          <w:rFonts w:hint="eastAsia"/>
        </w:rPr>
        <w:t>5</w:t>
      </w:r>
      <w:r>
        <w:t>00ppm的数据点占比不小于95%。</w:t>
      </w:r>
    </w:p>
    <w:p w14:paraId="76247431">
      <w:pPr>
        <w:spacing w:before="100" w:line="560" w:lineRule="exact"/>
        <w:ind w:firstLine="640"/>
        <w:jc w:val="both"/>
        <w:rPr>
          <w:rFonts w:hint="eastAsia"/>
        </w:rPr>
      </w:pPr>
      <w:r>
        <w:rPr>
          <w:rFonts w:eastAsia="黑体"/>
        </w:rPr>
        <w:t>7. 不能免于排放检验的原因和应对措施</w:t>
      </w:r>
    </w:p>
    <w:p w14:paraId="72BE909C">
      <w:pPr>
        <w:spacing w:before="100" w:line="560" w:lineRule="exact"/>
        <w:ind w:firstLine="640"/>
        <w:jc w:val="both"/>
        <w:rPr>
          <w:rFonts w:hint="eastAsia"/>
        </w:rPr>
      </w:pPr>
      <w:r>
        <w:rPr>
          <w:rFonts w:eastAsia="黑体"/>
        </w:rPr>
        <w:t>7.1 无车载终端</w:t>
      </w:r>
    </w:p>
    <w:p w14:paraId="031F736D">
      <w:pPr>
        <w:spacing w:line="560" w:lineRule="exact"/>
        <w:ind w:firstLine="640"/>
        <w:jc w:val="both"/>
        <w:rPr>
          <w:rFonts w:hint="eastAsia"/>
        </w:rPr>
      </w:pPr>
      <w:r>
        <w:t>未安装车载终端的，应安装符合国家或本市技术规范要求的终端设备并与上海市重型柴油车远程监控平台联网。</w:t>
      </w:r>
    </w:p>
    <w:p w14:paraId="07008110">
      <w:pPr>
        <w:spacing w:before="100" w:line="560" w:lineRule="exact"/>
        <w:ind w:firstLine="640"/>
        <w:jc w:val="both"/>
        <w:rPr>
          <w:rFonts w:hint="eastAsia"/>
        </w:rPr>
      </w:pPr>
      <w:r>
        <w:rPr>
          <w:rFonts w:eastAsia="黑体"/>
        </w:rPr>
        <w:t>7.2 存在</w:t>
      </w:r>
      <w:r>
        <w:rPr>
          <w:rFonts w:hint="eastAsia" w:eastAsia="黑体"/>
        </w:rPr>
        <w:t>车载排放诊断系统报警</w:t>
      </w:r>
      <w:r>
        <w:rPr>
          <w:rFonts w:eastAsia="黑体"/>
        </w:rPr>
        <w:t>行驶超24小时记录</w:t>
      </w:r>
    </w:p>
    <w:p w14:paraId="0B054D13">
      <w:pPr>
        <w:spacing w:line="560" w:lineRule="exact"/>
        <w:ind w:firstLine="640"/>
        <w:jc w:val="both"/>
        <w:rPr>
          <w:rFonts w:hint="eastAsia"/>
        </w:rPr>
      </w:pPr>
      <w:r>
        <w:t>及时对车辆进行维修，消除故障。</w:t>
      </w:r>
    </w:p>
    <w:p w14:paraId="2B31089E">
      <w:pPr>
        <w:spacing w:before="100" w:line="560" w:lineRule="exact"/>
        <w:ind w:firstLine="640"/>
        <w:jc w:val="both"/>
        <w:rPr>
          <w:rFonts w:hint="eastAsia"/>
        </w:rPr>
      </w:pPr>
      <w:r>
        <w:rPr>
          <w:rFonts w:eastAsia="黑体"/>
        </w:rPr>
        <w:t>7.3 数据质量要求不合格</w:t>
      </w:r>
    </w:p>
    <w:p w14:paraId="30EDC694">
      <w:pPr>
        <w:spacing w:line="560" w:lineRule="exact"/>
        <w:ind w:firstLine="640"/>
        <w:jc w:val="both"/>
        <w:rPr>
          <w:rFonts w:hint="eastAsia"/>
        </w:rPr>
      </w:pPr>
      <w:r>
        <w:rPr>
          <w:rFonts w:hint="eastAsia"/>
        </w:rPr>
        <w:t>及时联系</w:t>
      </w:r>
      <w:r>
        <w:t>车辆销售服务网点</w:t>
      </w:r>
      <w:r>
        <w:rPr>
          <w:rFonts w:hint="eastAsia"/>
        </w:rPr>
        <w:t>、</w:t>
      </w:r>
      <w:r>
        <w:t>有资质的车辆维修企业</w:t>
      </w:r>
      <w:r>
        <w:rPr>
          <w:rFonts w:hint="eastAsia"/>
        </w:rPr>
        <w:t>或</w:t>
      </w:r>
      <w:r>
        <w:t>终端设备供应商进行维修或升级。</w:t>
      </w:r>
    </w:p>
    <w:p w14:paraId="0EED07B8">
      <w:pPr>
        <w:spacing w:before="100" w:line="560" w:lineRule="exact"/>
        <w:ind w:firstLine="640"/>
        <w:jc w:val="both"/>
        <w:rPr>
          <w:rFonts w:hint="eastAsia"/>
        </w:rPr>
      </w:pPr>
      <w:r>
        <w:rPr>
          <w:rFonts w:eastAsia="黑体"/>
        </w:rPr>
        <w:t>7.4 NOx排放要求不合格</w:t>
      </w:r>
    </w:p>
    <w:p w14:paraId="21CCFC4B">
      <w:pPr>
        <w:spacing w:line="560" w:lineRule="exact"/>
        <w:ind w:firstLine="640"/>
        <w:jc w:val="both"/>
        <w:rPr>
          <w:rFonts w:hint="eastAsia"/>
        </w:rPr>
      </w:pPr>
      <w:r>
        <w:rPr>
          <w:rFonts w:hint="eastAsia"/>
        </w:rPr>
        <w:t>及时</w:t>
      </w:r>
      <w:r>
        <w:t>前往车辆销售服务网点或有资质的汽车维修企业对车辆进行维修。</w:t>
      </w:r>
    </w:p>
    <w:p w14:paraId="26C37468">
      <w:pPr>
        <w:spacing w:before="100" w:line="560" w:lineRule="exact"/>
        <w:ind w:firstLine="640"/>
        <w:jc w:val="both"/>
        <w:rPr>
          <w:rFonts w:hint="eastAsia"/>
        </w:rPr>
      </w:pPr>
      <w:r>
        <w:rPr>
          <w:rFonts w:eastAsia="黑体"/>
        </w:rPr>
        <w:t>7.5 车辆上线率要求不合格</w:t>
      </w:r>
    </w:p>
    <w:p w14:paraId="37ADB2F3">
      <w:pPr>
        <w:spacing w:line="560" w:lineRule="exact"/>
        <w:ind w:firstLine="640"/>
        <w:jc w:val="both"/>
        <w:rPr>
          <w:rFonts w:hint="eastAsia"/>
        </w:rPr>
      </w:pPr>
      <w:r>
        <w:t>检查上线时间是否满足要求，检查车载终端是否存在被拆除、被破坏、通讯线路故障或数据流量耗尽等情况。</w:t>
      </w:r>
    </w:p>
    <w:p w14:paraId="6B7405E6">
      <w:pPr>
        <w:spacing w:before="100" w:after="0" w:line="600" w:lineRule="exact"/>
        <w:ind w:firstLine="641"/>
        <w:jc w:val="both"/>
        <w:rPr>
          <w:rFonts w:hint="eastAsia" w:eastAsia="黑体"/>
        </w:rPr>
      </w:pPr>
      <w:r>
        <w:rPr>
          <w:rFonts w:hint="eastAsia" w:eastAsia="黑体"/>
        </w:rPr>
        <w:t>7.6 存在违法违规情形</w:t>
      </w:r>
    </w:p>
    <w:p w14:paraId="36131DF9">
      <w:pPr>
        <w:spacing w:after="0" w:line="600" w:lineRule="exact"/>
        <w:ind w:firstLine="641"/>
        <w:jc w:val="both"/>
        <w:rPr>
          <w:rFonts w:hint="eastAsia"/>
        </w:rPr>
      </w:pPr>
      <w:r>
        <w:t>及时纠正违法违规行为，修复</w:t>
      </w:r>
      <w:r>
        <w:rPr>
          <w:rFonts w:hint="eastAsia"/>
        </w:rPr>
        <w:t>车载排放诊断系统，规范使用车辆，</w:t>
      </w:r>
      <w:r>
        <w:t>恢复污染控制装置正常使用</w:t>
      </w:r>
      <w:r>
        <w:rPr>
          <w:rFonts w:hint="eastAsia"/>
        </w:rPr>
        <w:t>，维修超标排放车辆。</w:t>
      </w:r>
    </w:p>
    <w:p w14:paraId="0086B7DC">
      <w:pPr>
        <w:spacing w:before="200" w:after="200" w:line="560" w:lineRule="exact"/>
        <w:rPr>
          <w:rFonts w:hint="eastAsia" w:eastAsia="黑体"/>
        </w:rPr>
      </w:pPr>
    </w:p>
    <w:p w14:paraId="55EC802F">
      <w:pPr>
        <w:spacing w:before="200" w:after="200" w:line="560" w:lineRule="exact"/>
        <w:rPr>
          <w:rFonts w:hint="eastAsia" w:eastAsia="黑体"/>
        </w:rPr>
      </w:pPr>
    </w:p>
    <w:p w14:paraId="114E784B">
      <w:pPr>
        <w:spacing w:before="200" w:after="200" w:line="560" w:lineRule="exact"/>
        <w:rPr>
          <w:rFonts w:hint="eastAsia" w:eastAsia="黑体"/>
        </w:rPr>
      </w:pPr>
    </w:p>
    <w:p w14:paraId="5F1F1BF0">
      <w:pPr>
        <w:spacing w:before="200" w:after="200" w:line="560" w:lineRule="exact"/>
        <w:rPr>
          <w:rFonts w:hint="eastAsia" w:eastAsia="黑体"/>
        </w:rPr>
      </w:pPr>
    </w:p>
    <w:p w14:paraId="30D3FE74">
      <w:pPr>
        <w:spacing w:before="200" w:after="200" w:line="560" w:lineRule="exact"/>
        <w:rPr>
          <w:rFonts w:hint="eastAsia" w:eastAsia="黑体"/>
        </w:rPr>
      </w:pPr>
    </w:p>
    <w:p w14:paraId="7EE3508D">
      <w:pPr>
        <w:spacing w:before="200" w:after="200" w:line="560" w:lineRule="exact"/>
        <w:rPr>
          <w:rFonts w:hint="eastAsia" w:eastAsia="黑体"/>
        </w:rPr>
      </w:pPr>
    </w:p>
    <w:p w14:paraId="4B2617AB">
      <w:pPr>
        <w:spacing w:before="200" w:after="200" w:line="560" w:lineRule="exact"/>
        <w:rPr>
          <w:rFonts w:hint="eastAsia" w:eastAsia="黑体"/>
        </w:rPr>
      </w:pPr>
    </w:p>
    <w:p w14:paraId="22527686">
      <w:pPr>
        <w:spacing w:before="200" w:after="200" w:line="560" w:lineRule="exact"/>
        <w:rPr>
          <w:rFonts w:hint="eastAsia" w:eastAsia="黑体"/>
        </w:rPr>
      </w:pPr>
    </w:p>
    <w:p w14:paraId="751E6174">
      <w:pPr>
        <w:spacing w:before="200" w:after="200" w:line="560" w:lineRule="exact"/>
        <w:rPr>
          <w:rFonts w:hint="eastAsia" w:eastAsia="黑体"/>
        </w:rPr>
      </w:pPr>
    </w:p>
    <w:p w14:paraId="0B97EA98">
      <w:pPr>
        <w:spacing w:before="200" w:after="200" w:line="560" w:lineRule="exact"/>
        <w:rPr>
          <w:rFonts w:hint="eastAsia" w:eastAsia="黑体"/>
        </w:rPr>
      </w:pPr>
    </w:p>
    <w:p w14:paraId="6FFCA686">
      <w:pPr>
        <w:spacing w:before="200" w:after="200" w:line="560" w:lineRule="exact"/>
        <w:rPr>
          <w:rFonts w:hint="eastAsia" w:eastAsia="黑体"/>
        </w:rPr>
      </w:pPr>
    </w:p>
    <w:p w14:paraId="7FA70032">
      <w:pPr>
        <w:spacing w:before="200" w:after="200" w:line="560" w:lineRule="exact"/>
        <w:rPr>
          <w:rFonts w:hint="eastAsia" w:eastAsia="黑体"/>
        </w:rPr>
      </w:pPr>
    </w:p>
    <w:p w14:paraId="50CCD555">
      <w:pPr>
        <w:spacing w:before="200" w:after="200" w:line="560" w:lineRule="exact"/>
        <w:rPr>
          <w:rFonts w:eastAsia="黑体"/>
        </w:rPr>
      </w:pPr>
    </w:p>
    <w:p w14:paraId="2E639744">
      <w:pPr>
        <w:spacing w:before="200" w:after="200" w:line="560" w:lineRule="exact"/>
        <w:rPr>
          <w:rFonts w:eastAsia="黑体"/>
        </w:rPr>
      </w:pPr>
    </w:p>
    <w:p w14:paraId="0359C95B">
      <w:pPr>
        <w:spacing w:before="200" w:after="200" w:line="560" w:lineRule="exact"/>
        <w:rPr>
          <w:rFonts w:eastAsia="黑体"/>
        </w:rPr>
      </w:pPr>
    </w:p>
    <w:p w14:paraId="60707F03">
      <w:pPr>
        <w:spacing w:before="200" w:after="200" w:line="560" w:lineRule="exact"/>
        <w:jc w:val="left"/>
        <w:rPr>
          <w:rFonts w:hint="eastAsia" w:eastAsia="黑体"/>
          <w:b/>
          <w:bCs/>
          <w:sz w:val="44"/>
          <w:szCs w:val="44"/>
        </w:rPr>
      </w:pPr>
      <w:r>
        <w:rPr>
          <w:rFonts w:eastAsia="黑体"/>
        </w:rPr>
        <w:t>附录</w:t>
      </w:r>
    </w:p>
    <w:p w14:paraId="1342C824">
      <w:pPr>
        <w:spacing w:before="200" w:after="400" w:line="600" w:lineRule="exact"/>
        <w:jc w:val="center"/>
        <w:rPr>
          <w:rFonts w:hint="eastAsia" w:eastAsia="黑体"/>
          <w:b/>
          <w:bCs/>
          <w:sz w:val="44"/>
          <w:szCs w:val="44"/>
        </w:rPr>
      </w:pPr>
    </w:p>
    <w:p w14:paraId="4767D299">
      <w:pPr>
        <w:spacing w:before="200" w:after="400" w:line="600" w:lineRule="exact"/>
        <w:jc w:val="center"/>
        <w:rPr>
          <w:rFonts w:hint="eastAsia"/>
        </w:rPr>
      </w:pPr>
      <w:r>
        <w:rPr>
          <w:rFonts w:eastAsia="黑体"/>
          <w:b/>
          <w:bCs/>
          <w:sz w:val="44"/>
          <w:szCs w:val="44"/>
        </w:rPr>
        <w:t>关键指标计算方法</w:t>
      </w:r>
    </w:p>
    <w:p w14:paraId="6C1EBCAF">
      <w:pPr>
        <w:spacing w:before="200" w:after="200" w:line="560" w:lineRule="exact"/>
        <w:ind w:firstLine="640"/>
        <w:rPr>
          <w:rFonts w:hint="eastAsia"/>
        </w:rPr>
      </w:pPr>
      <w:r>
        <w:rPr>
          <w:rFonts w:eastAsia="黑体"/>
          <w:b/>
          <w:bCs/>
        </w:rPr>
        <w:t>1. 数据连续性异常率</w:t>
      </w:r>
    </w:p>
    <w:p w14:paraId="615B076F">
      <w:pPr>
        <w:spacing w:line="560" w:lineRule="exact"/>
        <w:ind w:firstLine="640"/>
        <w:jc w:val="both"/>
        <w:rPr>
          <w:rFonts w:hint="eastAsia"/>
        </w:rPr>
      </w:pPr>
      <w:r>
        <w:t>当一个数据包存在传输间隔（数据发送时间戳与接收时间戳间隔）大于2h或数据采集频率小于1/30Hz的现象时，该数据包记为一个数据连续性异常数据包。数据连续性异常率Rc为存在数据连续性异常的数据包数量Nc占总数据包数量N的比例。</w:t>
      </w:r>
    </w:p>
    <w:p w14:paraId="097A678F">
      <w:pPr>
        <w:spacing w:before="200" w:after="200" w:line="560" w:lineRule="exact"/>
        <w:ind w:firstLine="640"/>
        <w:rPr>
          <w:rFonts w:hint="eastAsia"/>
        </w:rPr>
      </w:pPr>
      <w:r>
        <w:rPr>
          <w:b/>
          <w:bCs/>
        </w:rPr>
        <w:t>Rc = Nc/N %</w:t>
      </w:r>
    </w:p>
    <w:p w14:paraId="03DC38B1">
      <w:pPr>
        <w:spacing w:line="560" w:lineRule="exact"/>
        <w:ind w:firstLine="640"/>
        <w:jc w:val="both"/>
        <w:rPr>
          <w:rFonts w:hint="eastAsia"/>
        </w:rPr>
      </w:pPr>
      <w:r>
        <w:t>式中：</w:t>
      </w:r>
    </w:p>
    <w:p w14:paraId="51532B13">
      <w:pPr>
        <w:spacing w:line="560" w:lineRule="exact"/>
        <w:ind w:firstLine="640"/>
        <w:jc w:val="both"/>
        <w:rPr>
          <w:rFonts w:hint="eastAsia"/>
        </w:rPr>
      </w:pPr>
      <w:r>
        <w:t>Rc——数据连续性异常率，%。</w:t>
      </w:r>
    </w:p>
    <w:p w14:paraId="271FA635">
      <w:pPr>
        <w:spacing w:line="560" w:lineRule="exact"/>
        <w:ind w:firstLine="640"/>
        <w:jc w:val="both"/>
        <w:rPr>
          <w:rFonts w:hint="eastAsia"/>
        </w:rPr>
      </w:pPr>
      <w:r>
        <w:t>Nc——存在数据连续性异常的数据包数量，个。</w:t>
      </w:r>
    </w:p>
    <w:p w14:paraId="218CFDBA">
      <w:pPr>
        <w:spacing w:line="560" w:lineRule="exact"/>
        <w:ind w:firstLine="640"/>
        <w:jc w:val="both"/>
        <w:rPr>
          <w:rFonts w:hint="eastAsia"/>
        </w:rPr>
      </w:pPr>
      <w:r>
        <w:t>N——总数包数量，个。</w:t>
      </w:r>
    </w:p>
    <w:p w14:paraId="0A18274F">
      <w:pPr>
        <w:spacing w:before="200" w:after="200" w:line="560" w:lineRule="exact"/>
        <w:ind w:firstLine="640"/>
        <w:rPr>
          <w:rFonts w:hint="eastAsia"/>
        </w:rPr>
      </w:pPr>
      <w:r>
        <w:rPr>
          <w:rFonts w:eastAsia="黑体"/>
          <w:b/>
          <w:bCs/>
        </w:rPr>
        <w:t>2. 数据内容异常率</w:t>
      </w:r>
    </w:p>
    <w:p w14:paraId="0827C276">
      <w:pPr>
        <w:spacing w:line="560" w:lineRule="exact"/>
        <w:ind w:firstLine="640"/>
        <w:jc w:val="both"/>
        <w:rPr>
          <w:rFonts w:hint="eastAsia"/>
        </w:rPr>
      </w:pPr>
      <w:r>
        <w:t>当一个数据包的关键数据项中存在时间戳异常、数据无效、数据为空白值、数据为恒值、数据超过正常阈值的现象时，该数据包记为一个数据内容异常数据包。数据内容异常率Re为，数据统计周期内存在数据内容异常的数据包数量Ne占总数据包数量N的比例。</w:t>
      </w:r>
    </w:p>
    <w:p w14:paraId="3C762D28">
      <w:pPr>
        <w:spacing w:before="200" w:after="200" w:line="560" w:lineRule="exact"/>
        <w:ind w:firstLine="640"/>
        <w:rPr>
          <w:rFonts w:hint="eastAsia"/>
        </w:rPr>
      </w:pPr>
      <w:r>
        <w:rPr>
          <w:b/>
          <w:bCs/>
        </w:rPr>
        <w:t>Re = Ne/N %</w:t>
      </w:r>
    </w:p>
    <w:p w14:paraId="2DC361B7">
      <w:pPr>
        <w:spacing w:line="560" w:lineRule="exact"/>
        <w:ind w:firstLine="640"/>
        <w:jc w:val="both"/>
        <w:rPr>
          <w:rFonts w:hint="eastAsia"/>
        </w:rPr>
      </w:pPr>
      <w:r>
        <w:t>式中：</w:t>
      </w:r>
    </w:p>
    <w:p w14:paraId="07FF2E5D">
      <w:pPr>
        <w:spacing w:line="560" w:lineRule="exact"/>
        <w:ind w:firstLine="640"/>
        <w:jc w:val="both"/>
        <w:rPr>
          <w:rFonts w:hint="eastAsia"/>
        </w:rPr>
      </w:pPr>
      <w:r>
        <w:t>Re——数据内容异常率，%。</w:t>
      </w:r>
    </w:p>
    <w:p w14:paraId="6CBD0356">
      <w:pPr>
        <w:spacing w:line="560" w:lineRule="exact"/>
        <w:ind w:firstLine="640"/>
        <w:jc w:val="both"/>
        <w:rPr>
          <w:rFonts w:hint="eastAsia"/>
        </w:rPr>
      </w:pPr>
      <w:r>
        <w:t>Ne——存在数据内容异常的数据包数量，个。</w:t>
      </w:r>
    </w:p>
    <w:p w14:paraId="7E0CA271">
      <w:pPr>
        <w:spacing w:line="560" w:lineRule="exact"/>
        <w:ind w:firstLine="640"/>
        <w:jc w:val="both"/>
        <w:rPr>
          <w:rFonts w:hint="eastAsia"/>
        </w:rPr>
      </w:pPr>
      <w:r>
        <w:t>N——总数包数量，个。</w:t>
      </w:r>
    </w:p>
    <w:p w14:paraId="2DD54EF2">
      <w:pPr>
        <w:spacing w:line="560" w:lineRule="exact"/>
        <w:ind w:firstLine="640"/>
        <w:jc w:val="both"/>
        <w:rPr>
          <w:rFonts w:hint="eastAsia"/>
        </w:rPr>
      </w:pPr>
      <w:r>
        <w:t>下表A.1为关键数据项的阈值范围。当关键数据项超过范围时，该数据所在数据包为数据内容异常数据包。</w:t>
      </w:r>
    </w:p>
    <w:p w14:paraId="113B46A7">
      <w:pPr>
        <w:spacing w:before="200" w:after="100" w:line="480" w:lineRule="exact"/>
        <w:jc w:val="center"/>
        <w:rPr>
          <w:rFonts w:hint="eastAsia"/>
        </w:rPr>
      </w:pPr>
      <w:r>
        <w:rPr>
          <w:rFonts w:eastAsia="黑体"/>
          <w:b/>
          <w:bCs/>
          <w:sz w:val="28"/>
          <w:szCs w:val="28"/>
        </w:rPr>
        <w:t>表 A.1   关键数据项的阈值范围</w:t>
      </w:r>
    </w:p>
    <w:tbl>
      <w:tblPr>
        <w:tblStyle w:val="14"/>
        <w:tblW w:w="8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00"/>
        <w:gridCol w:w="2800"/>
        <w:gridCol w:w="1000"/>
        <w:gridCol w:w="1800"/>
        <w:gridCol w:w="1800"/>
      </w:tblGrid>
      <w:tr w14:paraId="6A01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vMerge w:val="restart"/>
            <w:tcBorders>
              <w:top w:val="single" w:color="000000" w:sz="4" w:space="0"/>
              <w:left w:val="single" w:color="000000" w:sz="4" w:space="0"/>
              <w:bottom w:val="single" w:color="000000" w:sz="4" w:space="0"/>
              <w:right w:val="single" w:color="000000" w:sz="4" w:space="0"/>
            </w:tcBorders>
            <w:tcMar>
              <w:top w:w="60" w:type="dxa"/>
              <w:left w:w="100" w:type="dxa"/>
              <w:bottom w:w="60" w:type="dxa"/>
              <w:right w:w="100" w:type="dxa"/>
            </w:tcMar>
            <w:vAlign w:val="center"/>
          </w:tcPr>
          <w:p w14:paraId="6D897B41">
            <w:pPr>
              <w:spacing w:line="360" w:lineRule="exact"/>
              <w:jc w:val="center"/>
              <w:rPr>
                <w:rFonts w:hint="eastAsia"/>
              </w:rPr>
            </w:pPr>
            <w:r>
              <w:rPr>
                <w:b/>
                <w:bCs/>
                <w:sz w:val="24"/>
                <w:szCs w:val="24"/>
              </w:rPr>
              <w:t>序号</w:t>
            </w:r>
          </w:p>
        </w:tc>
        <w:tc>
          <w:tcPr>
            <w:tcW w:w="2800" w:type="dxa"/>
            <w:vMerge w:val="restart"/>
            <w:tcBorders>
              <w:top w:val="single" w:color="000000" w:sz="4" w:space="0"/>
              <w:left w:val="single" w:color="000000" w:sz="4" w:space="0"/>
              <w:bottom w:val="single" w:color="000000" w:sz="4" w:space="0"/>
              <w:right w:val="single" w:color="000000" w:sz="4" w:space="0"/>
            </w:tcBorders>
            <w:tcMar>
              <w:top w:w="60" w:type="dxa"/>
              <w:left w:w="100" w:type="dxa"/>
              <w:bottom w:w="60" w:type="dxa"/>
              <w:right w:w="100" w:type="dxa"/>
            </w:tcMar>
            <w:vAlign w:val="center"/>
          </w:tcPr>
          <w:p w14:paraId="37EAD99E">
            <w:pPr>
              <w:spacing w:line="360" w:lineRule="exact"/>
              <w:jc w:val="center"/>
              <w:rPr>
                <w:rFonts w:hint="eastAsia"/>
              </w:rPr>
            </w:pPr>
            <w:r>
              <w:rPr>
                <w:b/>
                <w:bCs/>
                <w:sz w:val="24"/>
                <w:szCs w:val="24"/>
              </w:rPr>
              <w:t>项目</w:t>
            </w:r>
          </w:p>
        </w:tc>
        <w:tc>
          <w:tcPr>
            <w:tcW w:w="1000" w:type="dxa"/>
            <w:vMerge w:val="restart"/>
            <w:tcBorders>
              <w:top w:val="single" w:color="000000" w:sz="4" w:space="0"/>
              <w:left w:val="single" w:color="000000" w:sz="4" w:space="0"/>
              <w:bottom w:val="single" w:color="000000" w:sz="4" w:space="0"/>
              <w:right w:val="single" w:color="000000" w:sz="4" w:space="0"/>
            </w:tcBorders>
            <w:tcMar>
              <w:top w:w="60" w:type="dxa"/>
              <w:left w:w="100" w:type="dxa"/>
              <w:bottom w:w="60" w:type="dxa"/>
              <w:right w:w="100" w:type="dxa"/>
            </w:tcMar>
            <w:vAlign w:val="center"/>
          </w:tcPr>
          <w:p w14:paraId="7D298B7F">
            <w:pPr>
              <w:spacing w:line="360" w:lineRule="exact"/>
              <w:jc w:val="center"/>
              <w:rPr>
                <w:rFonts w:hint="eastAsia"/>
              </w:rPr>
            </w:pPr>
            <w:r>
              <w:rPr>
                <w:b/>
                <w:bCs/>
                <w:sz w:val="24"/>
                <w:szCs w:val="24"/>
              </w:rPr>
              <w:t>单位</w:t>
            </w:r>
          </w:p>
        </w:tc>
        <w:tc>
          <w:tcPr>
            <w:tcW w:w="3600" w:type="dxa"/>
            <w:gridSpan w:val="2"/>
            <w:tcBorders>
              <w:top w:val="single" w:color="000000" w:sz="4" w:space="0"/>
              <w:left w:val="single" w:color="000000" w:sz="4" w:space="0"/>
              <w:bottom w:val="single" w:color="000000" w:sz="4" w:space="0"/>
              <w:right w:val="single" w:color="000000" w:sz="4" w:space="0"/>
            </w:tcBorders>
            <w:tcMar>
              <w:top w:w="60" w:type="dxa"/>
              <w:left w:w="100" w:type="dxa"/>
              <w:bottom w:w="60" w:type="dxa"/>
              <w:right w:w="100" w:type="dxa"/>
            </w:tcMar>
            <w:vAlign w:val="center"/>
          </w:tcPr>
          <w:p w14:paraId="5F1108B1">
            <w:pPr>
              <w:spacing w:line="360" w:lineRule="exact"/>
              <w:jc w:val="center"/>
              <w:rPr>
                <w:rFonts w:hint="eastAsia"/>
              </w:rPr>
            </w:pPr>
            <w:r>
              <w:rPr>
                <w:b/>
                <w:bCs/>
                <w:sz w:val="24"/>
                <w:szCs w:val="24"/>
              </w:rPr>
              <w:t>数据合理性范围</w:t>
            </w:r>
          </w:p>
        </w:tc>
      </w:tr>
      <w:tr w14:paraId="639D8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0" w:type="auto"/>
            <w:vMerge w:val="continue"/>
            <w:tcBorders>
              <w:top w:val="single" w:color="000000" w:sz="4" w:space="0"/>
              <w:left w:val="single" w:color="000000" w:sz="4" w:space="0"/>
              <w:bottom w:val="single" w:color="000000" w:sz="4" w:space="0"/>
              <w:right w:val="single" w:color="000000" w:sz="4" w:space="0"/>
            </w:tcBorders>
          </w:tcPr>
          <w:p w14:paraId="58E49782">
            <w:pP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tcPr>
          <w:p w14:paraId="5F102527">
            <w:pPr>
              <w:rPr>
                <w:rFonts w:hint="eastAsia"/>
              </w:rPr>
            </w:pPr>
          </w:p>
        </w:tc>
        <w:tc>
          <w:tcPr>
            <w:tcW w:w="0" w:type="auto"/>
            <w:vMerge w:val="continue"/>
            <w:tcBorders>
              <w:top w:val="single" w:color="000000" w:sz="4" w:space="0"/>
              <w:left w:val="single" w:color="000000" w:sz="4" w:space="0"/>
              <w:bottom w:val="single" w:color="000000" w:sz="4" w:space="0"/>
              <w:right w:val="single" w:color="000000" w:sz="4" w:space="0"/>
            </w:tcBorders>
          </w:tcPr>
          <w:p w14:paraId="59B12F02">
            <w:pPr>
              <w:rPr>
                <w:rFonts w:hint="eastAsia"/>
              </w:rPr>
            </w:pPr>
          </w:p>
        </w:tc>
        <w:tc>
          <w:tcPr>
            <w:tcW w:w="1800" w:type="dxa"/>
            <w:tcBorders>
              <w:top w:val="single" w:color="000000" w:sz="4" w:space="0"/>
              <w:left w:val="single" w:color="000000" w:sz="4" w:space="0"/>
              <w:bottom w:val="single" w:color="000000" w:sz="4" w:space="0"/>
              <w:right w:val="single" w:color="000000" w:sz="4" w:space="0"/>
            </w:tcBorders>
            <w:tcMar>
              <w:top w:w="60" w:type="dxa"/>
              <w:left w:w="100" w:type="dxa"/>
              <w:bottom w:w="60" w:type="dxa"/>
              <w:right w:w="100" w:type="dxa"/>
            </w:tcMar>
            <w:vAlign w:val="center"/>
          </w:tcPr>
          <w:p w14:paraId="6F9C093D">
            <w:pPr>
              <w:spacing w:line="360" w:lineRule="exact"/>
              <w:jc w:val="center"/>
              <w:rPr>
                <w:rFonts w:hint="eastAsia"/>
              </w:rPr>
            </w:pPr>
            <w:r>
              <w:rPr>
                <w:b/>
                <w:bCs/>
                <w:sz w:val="24"/>
                <w:szCs w:val="24"/>
              </w:rPr>
              <w:t>下限</w:t>
            </w:r>
          </w:p>
        </w:tc>
        <w:tc>
          <w:tcPr>
            <w:tcW w:w="1800" w:type="dxa"/>
            <w:tcBorders>
              <w:top w:val="single" w:color="000000" w:sz="4" w:space="0"/>
              <w:left w:val="single" w:color="000000" w:sz="4" w:space="0"/>
              <w:bottom w:val="single" w:color="000000" w:sz="4" w:space="0"/>
              <w:right w:val="single" w:color="000000" w:sz="4" w:space="0"/>
            </w:tcBorders>
            <w:tcMar>
              <w:top w:w="60" w:type="dxa"/>
              <w:left w:w="100" w:type="dxa"/>
              <w:bottom w:w="60" w:type="dxa"/>
              <w:right w:w="100" w:type="dxa"/>
            </w:tcMar>
            <w:vAlign w:val="center"/>
          </w:tcPr>
          <w:p w14:paraId="406CABA6">
            <w:pPr>
              <w:spacing w:line="360" w:lineRule="exact"/>
              <w:jc w:val="center"/>
              <w:rPr>
                <w:rFonts w:hint="eastAsia"/>
              </w:rPr>
            </w:pPr>
            <w:r>
              <w:rPr>
                <w:b/>
                <w:bCs/>
                <w:sz w:val="24"/>
                <w:szCs w:val="24"/>
              </w:rPr>
              <w:t>上限</w:t>
            </w:r>
          </w:p>
        </w:tc>
      </w:tr>
      <w:tr w14:paraId="556B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4" w:space="0"/>
              <w:left w:val="single" w:color="000000" w:sz="4" w:space="0"/>
              <w:bottom w:val="single" w:color="000000" w:sz="4" w:space="0"/>
              <w:right w:val="single" w:color="000000" w:sz="4" w:space="0"/>
            </w:tcBorders>
            <w:tcMar>
              <w:top w:w="60" w:type="dxa"/>
              <w:left w:w="100" w:type="dxa"/>
              <w:bottom w:w="60" w:type="dxa"/>
              <w:right w:w="100" w:type="dxa"/>
            </w:tcMar>
            <w:vAlign w:val="center"/>
          </w:tcPr>
          <w:p w14:paraId="23A0DF2C">
            <w:pPr>
              <w:spacing w:line="360" w:lineRule="exact"/>
              <w:jc w:val="center"/>
              <w:rPr>
                <w:rFonts w:hint="eastAsia"/>
              </w:rPr>
            </w:pPr>
            <w:r>
              <w:rPr>
                <w:sz w:val="24"/>
                <w:szCs w:val="24"/>
              </w:rPr>
              <w:t>1</w:t>
            </w:r>
          </w:p>
        </w:tc>
        <w:tc>
          <w:tcPr>
            <w:tcW w:w="2800" w:type="dxa"/>
            <w:tcBorders>
              <w:top w:val="single" w:color="000000" w:sz="4" w:space="0"/>
              <w:left w:val="single" w:color="000000" w:sz="4" w:space="0"/>
              <w:bottom w:val="single" w:color="000000" w:sz="4" w:space="0"/>
              <w:right w:val="single" w:color="000000" w:sz="4" w:space="0"/>
            </w:tcBorders>
            <w:tcMar>
              <w:top w:w="60" w:type="dxa"/>
              <w:left w:w="100" w:type="dxa"/>
              <w:bottom w:w="60" w:type="dxa"/>
              <w:right w:w="100" w:type="dxa"/>
            </w:tcMar>
            <w:vAlign w:val="center"/>
          </w:tcPr>
          <w:p w14:paraId="7F9AA6B6">
            <w:pPr>
              <w:spacing w:line="360" w:lineRule="exact"/>
              <w:jc w:val="center"/>
              <w:rPr>
                <w:rFonts w:hint="eastAsia"/>
              </w:rPr>
            </w:pPr>
            <w:r>
              <w:rPr>
                <w:sz w:val="24"/>
                <w:szCs w:val="24"/>
              </w:rPr>
              <w:t>发动机转速</w:t>
            </w:r>
          </w:p>
        </w:tc>
        <w:tc>
          <w:tcPr>
            <w:tcW w:w="1000" w:type="dxa"/>
            <w:tcBorders>
              <w:top w:val="single" w:color="000000" w:sz="4" w:space="0"/>
              <w:left w:val="single" w:color="000000" w:sz="4" w:space="0"/>
              <w:bottom w:val="single" w:color="000000" w:sz="4" w:space="0"/>
              <w:right w:val="single" w:color="000000" w:sz="4" w:space="0"/>
            </w:tcBorders>
            <w:tcMar>
              <w:top w:w="60" w:type="dxa"/>
              <w:left w:w="100" w:type="dxa"/>
              <w:bottom w:w="60" w:type="dxa"/>
              <w:right w:w="100" w:type="dxa"/>
            </w:tcMar>
            <w:vAlign w:val="center"/>
          </w:tcPr>
          <w:p w14:paraId="6E828876">
            <w:pPr>
              <w:spacing w:line="360" w:lineRule="exact"/>
              <w:jc w:val="center"/>
              <w:rPr>
                <w:rFonts w:hint="eastAsia"/>
              </w:rPr>
            </w:pPr>
            <w:r>
              <w:rPr>
                <w:sz w:val="24"/>
                <w:szCs w:val="24"/>
              </w:rPr>
              <w:t>rpm</w:t>
            </w:r>
          </w:p>
        </w:tc>
        <w:tc>
          <w:tcPr>
            <w:tcW w:w="1800" w:type="dxa"/>
            <w:tcBorders>
              <w:top w:val="single" w:color="000000" w:sz="4" w:space="0"/>
              <w:left w:val="single" w:color="000000" w:sz="4" w:space="0"/>
              <w:bottom w:val="single" w:color="000000" w:sz="4" w:space="0"/>
              <w:right w:val="single" w:color="000000" w:sz="4" w:space="0"/>
            </w:tcBorders>
            <w:tcMar>
              <w:top w:w="60" w:type="dxa"/>
              <w:left w:w="100" w:type="dxa"/>
              <w:bottom w:w="60" w:type="dxa"/>
              <w:right w:w="100" w:type="dxa"/>
            </w:tcMar>
            <w:vAlign w:val="center"/>
          </w:tcPr>
          <w:p w14:paraId="40322024">
            <w:pPr>
              <w:spacing w:line="360" w:lineRule="exact"/>
              <w:jc w:val="center"/>
              <w:rPr>
                <w:rFonts w:hint="eastAsia"/>
              </w:rPr>
            </w:pPr>
            <w:r>
              <w:rPr>
                <w:sz w:val="24"/>
                <w:szCs w:val="24"/>
              </w:rPr>
              <w:t>0</w:t>
            </w:r>
          </w:p>
        </w:tc>
        <w:tc>
          <w:tcPr>
            <w:tcW w:w="1800" w:type="dxa"/>
            <w:tcBorders>
              <w:top w:val="single" w:color="000000" w:sz="4" w:space="0"/>
              <w:left w:val="single" w:color="000000" w:sz="4" w:space="0"/>
              <w:bottom w:val="single" w:color="000000" w:sz="4" w:space="0"/>
              <w:right w:val="single" w:color="000000" w:sz="4" w:space="0"/>
            </w:tcBorders>
            <w:tcMar>
              <w:top w:w="60" w:type="dxa"/>
              <w:left w:w="100" w:type="dxa"/>
              <w:bottom w:w="60" w:type="dxa"/>
              <w:right w:w="100" w:type="dxa"/>
            </w:tcMar>
            <w:vAlign w:val="center"/>
          </w:tcPr>
          <w:p w14:paraId="7A61EF9A">
            <w:pPr>
              <w:spacing w:line="360" w:lineRule="exact"/>
              <w:jc w:val="center"/>
              <w:rPr>
                <w:rFonts w:hint="eastAsia"/>
              </w:rPr>
            </w:pPr>
            <w:r>
              <w:rPr>
                <w:sz w:val="24"/>
                <w:szCs w:val="24"/>
              </w:rPr>
              <w:t>5500</w:t>
            </w:r>
          </w:p>
        </w:tc>
      </w:tr>
      <w:tr w14:paraId="2672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4" w:space="0"/>
              <w:left w:val="single" w:color="000000" w:sz="4" w:space="0"/>
              <w:bottom w:val="single" w:color="000000" w:sz="4" w:space="0"/>
              <w:right w:val="single" w:color="000000" w:sz="4" w:space="0"/>
            </w:tcBorders>
            <w:tcMar>
              <w:top w:w="60" w:type="dxa"/>
              <w:left w:w="100" w:type="dxa"/>
              <w:bottom w:w="60" w:type="dxa"/>
              <w:right w:w="100" w:type="dxa"/>
            </w:tcMar>
            <w:vAlign w:val="center"/>
          </w:tcPr>
          <w:p w14:paraId="19200948">
            <w:pPr>
              <w:spacing w:line="360" w:lineRule="exact"/>
              <w:jc w:val="center"/>
              <w:rPr>
                <w:rFonts w:hint="eastAsia"/>
              </w:rPr>
            </w:pPr>
            <w:r>
              <w:rPr>
                <w:sz w:val="24"/>
                <w:szCs w:val="24"/>
              </w:rPr>
              <w:t>2</w:t>
            </w:r>
          </w:p>
        </w:tc>
        <w:tc>
          <w:tcPr>
            <w:tcW w:w="2800" w:type="dxa"/>
            <w:tcBorders>
              <w:top w:val="single" w:color="000000" w:sz="4" w:space="0"/>
              <w:left w:val="single" w:color="000000" w:sz="4" w:space="0"/>
              <w:bottom w:val="single" w:color="000000" w:sz="4" w:space="0"/>
              <w:right w:val="single" w:color="000000" w:sz="4" w:space="0"/>
            </w:tcBorders>
            <w:tcMar>
              <w:top w:w="60" w:type="dxa"/>
              <w:left w:w="100" w:type="dxa"/>
              <w:bottom w:w="60" w:type="dxa"/>
              <w:right w:w="100" w:type="dxa"/>
            </w:tcMar>
            <w:vAlign w:val="center"/>
          </w:tcPr>
          <w:p w14:paraId="36FB306D">
            <w:pPr>
              <w:spacing w:line="360" w:lineRule="exact"/>
              <w:jc w:val="center"/>
              <w:rPr>
                <w:rFonts w:hint="eastAsia"/>
              </w:rPr>
            </w:pPr>
            <w:r>
              <w:rPr>
                <w:sz w:val="24"/>
                <w:szCs w:val="24"/>
              </w:rPr>
              <w:t>SCR下游NOx传感器输出值</w:t>
            </w:r>
          </w:p>
        </w:tc>
        <w:tc>
          <w:tcPr>
            <w:tcW w:w="1000" w:type="dxa"/>
            <w:tcBorders>
              <w:top w:val="single" w:color="000000" w:sz="4" w:space="0"/>
              <w:left w:val="single" w:color="000000" w:sz="4" w:space="0"/>
              <w:bottom w:val="single" w:color="000000" w:sz="4" w:space="0"/>
              <w:right w:val="single" w:color="000000" w:sz="4" w:space="0"/>
            </w:tcBorders>
            <w:tcMar>
              <w:top w:w="60" w:type="dxa"/>
              <w:left w:w="100" w:type="dxa"/>
              <w:bottom w:w="60" w:type="dxa"/>
              <w:right w:w="100" w:type="dxa"/>
            </w:tcMar>
            <w:vAlign w:val="center"/>
          </w:tcPr>
          <w:p w14:paraId="1B9EBB27">
            <w:pPr>
              <w:spacing w:line="360" w:lineRule="exact"/>
              <w:jc w:val="center"/>
              <w:rPr>
                <w:rFonts w:hint="eastAsia"/>
              </w:rPr>
            </w:pPr>
            <w:r>
              <w:rPr>
                <w:sz w:val="24"/>
                <w:szCs w:val="24"/>
              </w:rPr>
              <w:t>ppm</w:t>
            </w:r>
          </w:p>
        </w:tc>
        <w:tc>
          <w:tcPr>
            <w:tcW w:w="1800" w:type="dxa"/>
            <w:tcBorders>
              <w:top w:val="single" w:color="000000" w:sz="4" w:space="0"/>
              <w:left w:val="single" w:color="000000" w:sz="4" w:space="0"/>
              <w:bottom w:val="single" w:color="000000" w:sz="4" w:space="0"/>
              <w:right w:val="single" w:color="000000" w:sz="4" w:space="0"/>
            </w:tcBorders>
            <w:tcMar>
              <w:top w:w="60" w:type="dxa"/>
              <w:left w:w="100" w:type="dxa"/>
              <w:bottom w:w="60" w:type="dxa"/>
              <w:right w:w="100" w:type="dxa"/>
            </w:tcMar>
            <w:vAlign w:val="center"/>
          </w:tcPr>
          <w:p w14:paraId="4258D663">
            <w:pPr>
              <w:spacing w:line="360" w:lineRule="exact"/>
              <w:jc w:val="center"/>
              <w:rPr>
                <w:rFonts w:hint="eastAsia"/>
              </w:rPr>
            </w:pPr>
            <w:r>
              <w:rPr>
                <w:sz w:val="24"/>
                <w:szCs w:val="24"/>
              </w:rPr>
              <w:t>0</w:t>
            </w:r>
          </w:p>
        </w:tc>
        <w:tc>
          <w:tcPr>
            <w:tcW w:w="1800" w:type="dxa"/>
            <w:tcBorders>
              <w:top w:val="single" w:color="000000" w:sz="4" w:space="0"/>
              <w:left w:val="single" w:color="000000" w:sz="4" w:space="0"/>
              <w:bottom w:val="single" w:color="000000" w:sz="4" w:space="0"/>
              <w:right w:val="single" w:color="000000" w:sz="4" w:space="0"/>
            </w:tcBorders>
            <w:tcMar>
              <w:top w:w="60" w:type="dxa"/>
              <w:left w:w="100" w:type="dxa"/>
              <w:bottom w:w="60" w:type="dxa"/>
              <w:right w:w="100" w:type="dxa"/>
            </w:tcMar>
            <w:vAlign w:val="center"/>
          </w:tcPr>
          <w:p w14:paraId="3B58DA6D">
            <w:pPr>
              <w:spacing w:line="360" w:lineRule="exact"/>
              <w:jc w:val="center"/>
              <w:rPr>
                <w:rFonts w:hint="eastAsia"/>
              </w:rPr>
            </w:pPr>
            <w:r>
              <w:rPr>
                <w:sz w:val="24"/>
                <w:szCs w:val="24"/>
              </w:rPr>
              <w:t>2500</w:t>
            </w:r>
          </w:p>
        </w:tc>
      </w:tr>
      <w:tr w14:paraId="3AE48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4" w:space="0"/>
              <w:left w:val="single" w:color="000000" w:sz="4" w:space="0"/>
              <w:bottom w:val="single" w:color="000000" w:sz="4" w:space="0"/>
              <w:right w:val="single" w:color="000000" w:sz="4" w:space="0"/>
            </w:tcBorders>
            <w:tcMar>
              <w:top w:w="60" w:type="dxa"/>
              <w:left w:w="100" w:type="dxa"/>
              <w:bottom w:w="60" w:type="dxa"/>
              <w:right w:w="100" w:type="dxa"/>
            </w:tcMar>
            <w:vAlign w:val="center"/>
          </w:tcPr>
          <w:p w14:paraId="0B9861CA">
            <w:pPr>
              <w:spacing w:line="360" w:lineRule="exact"/>
              <w:jc w:val="center"/>
              <w:rPr>
                <w:rFonts w:hint="eastAsia"/>
              </w:rPr>
            </w:pPr>
            <w:r>
              <w:rPr>
                <w:sz w:val="24"/>
                <w:szCs w:val="24"/>
              </w:rPr>
              <w:t>3</w:t>
            </w:r>
          </w:p>
        </w:tc>
        <w:tc>
          <w:tcPr>
            <w:tcW w:w="2800" w:type="dxa"/>
            <w:tcBorders>
              <w:top w:val="single" w:color="000000" w:sz="4" w:space="0"/>
              <w:left w:val="single" w:color="000000" w:sz="4" w:space="0"/>
              <w:bottom w:val="single" w:color="000000" w:sz="4" w:space="0"/>
              <w:right w:val="single" w:color="000000" w:sz="4" w:space="0"/>
            </w:tcBorders>
            <w:tcMar>
              <w:top w:w="60" w:type="dxa"/>
              <w:left w:w="100" w:type="dxa"/>
              <w:bottom w:w="60" w:type="dxa"/>
              <w:right w:w="100" w:type="dxa"/>
            </w:tcMar>
            <w:vAlign w:val="center"/>
          </w:tcPr>
          <w:p w14:paraId="08C7BAF9">
            <w:pPr>
              <w:spacing w:line="360" w:lineRule="exact"/>
              <w:jc w:val="center"/>
              <w:rPr>
                <w:rFonts w:hint="eastAsia"/>
              </w:rPr>
            </w:pPr>
            <w:r>
              <w:rPr>
                <w:sz w:val="24"/>
                <w:szCs w:val="24"/>
              </w:rPr>
              <w:t>反应剂余量</w:t>
            </w:r>
          </w:p>
        </w:tc>
        <w:tc>
          <w:tcPr>
            <w:tcW w:w="1000" w:type="dxa"/>
            <w:tcBorders>
              <w:top w:val="single" w:color="000000" w:sz="4" w:space="0"/>
              <w:left w:val="single" w:color="000000" w:sz="4" w:space="0"/>
              <w:bottom w:val="single" w:color="000000" w:sz="4" w:space="0"/>
              <w:right w:val="single" w:color="000000" w:sz="4" w:space="0"/>
            </w:tcBorders>
            <w:tcMar>
              <w:top w:w="60" w:type="dxa"/>
              <w:left w:w="100" w:type="dxa"/>
              <w:bottom w:w="60" w:type="dxa"/>
              <w:right w:w="100" w:type="dxa"/>
            </w:tcMar>
            <w:vAlign w:val="center"/>
          </w:tcPr>
          <w:p w14:paraId="7BFDA822">
            <w:pPr>
              <w:spacing w:line="360" w:lineRule="exact"/>
              <w:jc w:val="center"/>
              <w:rPr>
                <w:rFonts w:hint="eastAsia"/>
              </w:rPr>
            </w:pPr>
            <w:r>
              <w:rPr>
                <w:sz w:val="24"/>
                <w:szCs w:val="24"/>
              </w:rPr>
              <w:t>%</w:t>
            </w:r>
          </w:p>
        </w:tc>
        <w:tc>
          <w:tcPr>
            <w:tcW w:w="1800" w:type="dxa"/>
            <w:tcBorders>
              <w:top w:val="single" w:color="000000" w:sz="4" w:space="0"/>
              <w:left w:val="single" w:color="000000" w:sz="4" w:space="0"/>
              <w:bottom w:val="single" w:color="000000" w:sz="4" w:space="0"/>
              <w:right w:val="single" w:color="000000" w:sz="4" w:space="0"/>
            </w:tcBorders>
            <w:tcMar>
              <w:top w:w="60" w:type="dxa"/>
              <w:left w:w="100" w:type="dxa"/>
              <w:bottom w:w="60" w:type="dxa"/>
              <w:right w:w="100" w:type="dxa"/>
            </w:tcMar>
            <w:vAlign w:val="center"/>
          </w:tcPr>
          <w:p w14:paraId="63DB12B2">
            <w:pPr>
              <w:spacing w:line="360" w:lineRule="exact"/>
              <w:jc w:val="center"/>
              <w:rPr>
                <w:rFonts w:hint="eastAsia"/>
              </w:rPr>
            </w:pPr>
            <w:r>
              <w:rPr>
                <w:sz w:val="24"/>
                <w:szCs w:val="24"/>
              </w:rPr>
              <w:t>0</w:t>
            </w:r>
          </w:p>
        </w:tc>
        <w:tc>
          <w:tcPr>
            <w:tcW w:w="1800" w:type="dxa"/>
            <w:tcBorders>
              <w:top w:val="single" w:color="000000" w:sz="4" w:space="0"/>
              <w:left w:val="single" w:color="000000" w:sz="4" w:space="0"/>
              <w:bottom w:val="single" w:color="000000" w:sz="4" w:space="0"/>
              <w:right w:val="single" w:color="000000" w:sz="4" w:space="0"/>
            </w:tcBorders>
            <w:tcMar>
              <w:top w:w="60" w:type="dxa"/>
              <w:left w:w="100" w:type="dxa"/>
              <w:bottom w:w="60" w:type="dxa"/>
              <w:right w:w="100" w:type="dxa"/>
            </w:tcMar>
            <w:vAlign w:val="center"/>
          </w:tcPr>
          <w:p w14:paraId="062AC5E8">
            <w:pPr>
              <w:spacing w:line="360" w:lineRule="exact"/>
              <w:jc w:val="center"/>
              <w:rPr>
                <w:rFonts w:hint="eastAsia"/>
              </w:rPr>
            </w:pPr>
            <w:r>
              <w:rPr>
                <w:sz w:val="24"/>
                <w:szCs w:val="24"/>
              </w:rPr>
              <w:t>100</w:t>
            </w:r>
          </w:p>
        </w:tc>
      </w:tr>
      <w:tr w14:paraId="14CC9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4" w:space="0"/>
              <w:left w:val="single" w:color="000000" w:sz="4" w:space="0"/>
              <w:bottom w:val="single" w:color="000000" w:sz="4" w:space="0"/>
              <w:right w:val="single" w:color="000000" w:sz="4" w:space="0"/>
            </w:tcBorders>
            <w:tcMar>
              <w:top w:w="60" w:type="dxa"/>
              <w:left w:w="100" w:type="dxa"/>
              <w:bottom w:w="60" w:type="dxa"/>
              <w:right w:w="100" w:type="dxa"/>
            </w:tcMar>
            <w:vAlign w:val="center"/>
          </w:tcPr>
          <w:p w14:paraId="41AB5A8F">
            <w:pPr>
              <w:spacing w:line="360" w:lineRule="exact"/>
              <w:jc w:val="center"/>
              <w:rPr>
                <w:rFonts w:hint="eastAsia"/>
              </w:rPr>
            </w:pPr>
            <w:r>
              <w:rPr>
                <w:sz w:val="24"/>
                <w:szCs w:val="24"/>
              </w:rPr>
              <w:t>4</w:t>
            </w:r>
          </w:p>
        </w:tc>
        <w:tc>
          <w:tcPr>
            <w:tcW w:w="2800" w:type="dxa"/>
            <w:tcBorders>
              <w:top w:val="single" w:color="000000" w:sz="4" w:space="0"/>
              <w:left w:val="single" w:color="000000" w:sz="4" w:space="0"/>
              <w:bottom w:val="single" w:color="000000" w:sz="4" w:space="0"/>
              <w:right w:val="single" w:color="000000" w:sz="4" w:space="0"/>
            </w:tcBorders>
            <w:tcMar>
              <w:top w:w="60" w:type="dxa"/>
              <w:left w:w="100" w:type="dxa"/>
              <w:bottom w:w="60" w:type="dxa"/>
              <w:right w:w="100" w:type="dxa"/>
            </w:tcMar>
            <w:vAlign w:val="center"/>
          </w:tcPr>
          <w:p w14:paraId="7F59965A">
            <w:pPr>
              <w:spacing w:line="360" w:lineRule="exact"/>
              <w:jc w:val="center"/>
              <w:rPr>
                <w:rFonts w:hint="eastAsia"/>
              </w:rPr>
            </w:pPr>
            <w:r>
              <w:rPr>
                <w:sz w:val="24"/>
                <w:szCs w:val="24"/>
              </w:rPr>
              <w:t>发动机冷却液温度</w:t>
            </w:r>
          </w:p>
        </w:tc>
        <w:tc>
          <w:tcPr>
            <w:tcW w:w="1000" w:type="dxa"/>
            <w:tcBorders>
              <w:top w:val="single" w:color="000000" w:sz="4" w:space="0"/>
              <w:left w:val="single" w:color="000000" w:sz="4" w:space="0"/>
              <w:bottom w:val="single" w:color="000000" w:sz="4" w:space="0"/>
              <w:right w:val="single" w:color="000000" w:sz="4" w:space="0"/>
            </w:tcBorders>
            <w:tcMar>
              <w:top w:w="60" w:type="dxa"/>
              <w:left w:w="100" w:type="dxa"/>
              <w:bottom w:w="60" w:type="dxa"/>
              <w:right w:w="100" w:type="dxa"/>
            </w:tcMar>
            <w:vAlign w:val="center"/>
          </w:tcPr>
          <w:p w14:paraId="13AD1F45">
            <w:pPr>
              <w:spacing w:line="360" w:lineRule="exact"/>
              <w:jc w:val="center"/>
              <w:rPr>
                <w:rFonts w:hint="eastAsia"/>
              </w:rPr>
            </w:pPr>
            <w:r>
              <w:rPr>
                <w:sz w:val="24"/>
                <w:szCs w:val="24"/>
              </w:rPr>
              <w:t>℃</w:t>
            </w:r>
          </w:p>
        </w:tc>
        <w:tc>
          <w:tcPr>
            <w:tcW w:w="1800" w:type="dxa"/>
            <w:tcBorders>
              <w:top w:val="single" w:color="000000" w:sz="4" w:space="0"/>
              <w:left w:val="single" w:color="000000" w:sz="4" w:space="0"/>
              <w:bottom w:val="single" w:color="000000" w:sz="4" w:space="0"/>
              <w:right w:val="single" w:color="000000" w:sz="4" w:space="0"/>
            </w:tcBorders>
            <w:tcMar>
              <w:top w:w="60" w:type="dxa"/>
              <w:left w:w="100" w:type="dxa"/>
              <w:bottom w:w="60" w:type="dxa"/>
              <w:right w:w="100" w:type="dxa"/>
            </w:tcMar>
            <w:vAlign w:val="center"/>
          </w:tcPr>
          <w:p w14:paraId="164A601B">
            <w:pPr>
              <w:spacing w:line="360" w:lineRule="exact"/>
              <w:jc w:val="center"/>
              <w:rPr>
                <w:rFonts w:hint="eastAsia"/>
              </w:rPr>
            </w:pPr>
            <w:r>
              <w:rPr>
                <w:sz w:val="24"/>
                <w:szCs w:val="24"/>
              </w:rPr>
              <w:t>-20</w:t>
            </w:r>
          </w:p>
        </w:tc>
        <w:tc>
          <w:tcPr>
            <w:tcW w:w="1800" w:type="dxa"/>
            <w:tcBorders>
              <w:top w:val="single" w:color="000000" w:sz="4" w:space="0"/>
              <w:left w:val="single" w:color="000000" w:sz="4" w:space="0"/>
              <w:bottom w:val="single" w:color="000000" w:sz="4" w:space="0"/>
              <w:right w:val="single" w:color="000000" w:sz="4" w:space="0"/>
            </w:tcBorders>
            <w:tcMar>
              <w:top w:w="60" w:type="dxa"/>
              <w:left w:w="100" w:type="dxa"/>
              <w:bottom w:w="60" w:type="dxa"/>
              <w:right w:w="100" w:type="dxa"/>
            </w:tcMar>
            <w:vAlign w:val="center"/>
          </w:tcPr>
          <w:p w14:paraId="07F95690">
            <w:pPr>
              <w:spacing w:line="360" w:lineRule="exact"/>
              <w:jc w:val="center"/>
              <w:rPr>
                <w:rFonts w:hint="eastAsia"/>
              </w:rPr>
            </w:pPr>
            <w:r>
              <w:rPr>
                <w:sz w:val="24"/>
                <w:szCs w:val="24"/>
              </w:rPr>
              <w:t>120</w:t>
            </w:r>
          </w:p>
        </w:tc>
      </w:tr>
      <w:tr w14:paraId="56D0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4" w:space="0"/>
              <w:left w:val="single" w:color="000000" w:sz="4" w:space="0"/>
              <w:bottom w:val="single" w:color="000000" w:sz="4" w:space="0"/>
              <w:right w:val="single" w:color="000000" w:sz="4" w:space="0"/>
            </w:tcBorders>
            <w:tcMar>
              <w:top w:w="60" w:type="dxa"/>
              <w:left w:w="100" w:type="dxa"/>
              <w:bottom w:w="60" w:type="dxa"/>
              <w:right w:w="100" w:type="dxa"/>
            </w:tcMar>
            <w:vAlign w:val="center"/>
          </w:tcPr>
          <w:p w14:paraId="1B41AA71">
            <w:pPr>
              <w:spacing w:line="360" w:lineRule="exact"/>
              <w:jc w:val="center"/>
              <w:rPr>
                <w:rFonts w:hint="eastAsia"/>
              </w:rPr>
            </w:pPr>
            <w:r>
              <w:rPr>
                <w:sz w:val="24"/>
                <w:szCs w:val="24"/>
              </w:rPr>
              <w:t>5</w:t>
            </w:r>
          </w:p>
        </w:tc>
        <w:tc>
          <w:tcPr>
            <w:tcW w:w="2800" w:type="dxa"/>
            <w:tcBorders>
              <w:top w:val="single" w:color="000000" w:sz="4" w:space="0"/>
              <w:left w:val="single" w:color="000000" w:sz="4" w:space="0"/>
              <w:bottom w:val="single" w:color="000000" w:sz="4" w:space="0"/>
              <w:right w:val="single" w:color="000000" w:sz="4" w:space="0"/>
            </w:tcBorders>
            <w:tcMar>
              <w:top w:w="60" w:type="dxa"/>
              <w:left w:w="100" w:type="dxa"/>
              <w:bottom w:w="60" w:type="dxa"/>
              <w:right w:w="100" w:type="dxa"/>
            </w:tcMar>
            <w:vAlign w:val="center"/>
          </w:tcPr>
          <w:p w14:paraId="72989A78">
            <w:pPr>
              <w:spacing w:line="360" w:lineRule="exact"/>
              <w:jc w:val="center"/>
              <w:rPr>
                <w:rFonts w:hint="eastAsia"/>
              </w:rPr>
            </w:pPr>
            <w:r>
              <w:rPr>
                <w:sz w:val="24"/>
                <w:szCs w:val="24"/>
              </w:rPr>
              <w:t>经度</w:t>
            </w:r>
          </w:p>
        </w:tc>
        <w:tc>
          <w:tcPr>
            <w:tcW w:w="1000" w:type="dxa"/>
            <w:tcBorders>
              <w:top w:val="single" w:color="000000" w:sz="4" w:space="0"/>
              <w:left w:val="single" w:color="000000" w:sz="4" w:space="0"/>
              <w:bottom w:val="single" w:color="000000" w:sz="4" w:space="0"/>
              <w:right w:val="single" w:color="000000" w:sz="4" w:space="0"/>
            </w:tcBorders>
            <w:tcMar>
              <w:top w:w="60" w:type="dxa"/>
              <w:left w:w="100" w:type="dxa"/>
              <w:bottom w:w="60" w:type="dxa"/>
              <w:right w:w="100" w:type="dxa"/>
            </w:tcMar>
            <w:vAlign w:val="center"/>
          </w:tcPr>
          <w:p w14:paraId="70726A8F">
            <w:pPr>
              <w:spacing w:line="360" w:lineRule="exact"/>
              <w:jc w:val="center"/>
              <w:rPr>
                <w:rFonts w:hint="eastAsia"/>
              </w:rPr>
            </w:pPr>
            <w:r>
              <w:rPr>
                <w:sz w:val="24"/>
                <w:szCs w:val="24"/>
              </w:rPr>
              <w:t>°</w:t>
            </w:r>
          </w:p>
        </w:tc>
        <w:tc>
          <w:tcPr>
            <w:tcW w:w="1800" w:type="dxa"/>
            <w:tcBorders>
              <w:top w:val="single" w:color="000000" w:sz="4" w:space="0"/>
              <w:left w:val="single" w:color="000000" w:sz="4" w:space="0"/>
              <w:bottom w:val="single" w:color="000000" w:sz="4" w:space="0"/>
              <w:right w:val="single" w:color="000000" w:sz="4" w:space="0"/>
            </w:tcBorders>
            <w:tcMar>
              <w:top w:w="60" w:type="dxa"/>
              <w:left w:w="100" w:type="dxa"/>
              <w:bottom w:w="60" w:type="dxa"/>
              <w:right w:w="100" w:type="dxa"/>
            </w:tcMar>
            <w:vAlign w:val="center"/>
          </w:tcPr>
          <w:p w14:paraId="470D57E8">
            <w:pPr>
              <w:spacing w:line="360" w:lineRule="exact"/>
              <w:jc w:val="center"/>
              <w:rPr>
                <w:rFonts w:hint="eastAsia"/>
              </w:rPr>
            </w:pPr>
            <w:r>
              <w:rPr>
                <w:sz w:val="24"/>
                <w:szCs w:val="24"/>
              </w:rPr>
              <w:t>0.000000</w:t>
            </w:r>
          </w:p>
        </w:tc>
        <w:tc>
          <w:tcPr>
            <w:tcW w:w="1800" w:type="dxa"/>
            <w:tcBorders>
              <w:top w:val="single" w:color="000000" w:sz="4" w:space="0"/>
              <w:left w:val="single" w:color="000000" w:sz="4" w:space="0"/>
              <w:bottom w:val="single" w:color="000000" w:sz="4" w:space="0"/>
              <w:right w:val="single" w:color="000000" w:sz="4" w:space="0"/>
            </w:tcBorders>
            <w:tcMar>
              <w:top w:w="60" w:type="dxa"/>
              <w:left w:w="100" w:type="dxa"/>
              <w:bottom w:w="60" w:type="dxa"/>
              <w:right w:w="100" w:type="dxa"/>
            </w:tcMar>
            <w:vAlign w:val="center"/>
          </w:tcPr>
          <w:p w14:paraId="74EB41CF">
            <w:pPr>
              <w:spacing w:line="360" w:lineRule="exact"/>
              <w:jc w:val="center"/>
              <w:rPr>
                <w:rFonts w:hint="eastAsia"/>
              </w:rPr>
            </w:pPr>
            <w:r>
              <w:rPr>
                <w:sz w:val="24"/>
                <w:szCs w:val="24"/>
              </w:rPr>
              <w:t>180.000000</w:t>
            </w:r>
          </w:p>
        </w:tc>
      </w:tr>
      <w:tr w14:paraId="2C70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4" w:space="0"/>
              <w:left w:val="single" w:color="000000" w:sz="4" w:space="0"/>
              <w:bottom w:val="single" w:color="000000" w:sz="4" w:space="0"/>
              <w:right w:val="single" w:color="000000" w:sz="4" w:space="0"/>
            </w:tcBorders>
            <w:tcMar>
              <w:top w:w="60" w:type="dxa"/>
              <w:left w:w="100" w:type="dxa"/>
              <w:bottom w:w="60" w:type="dxa"/>
              <w:right w:w="100" w:type="dxa"/>
            </w:tcMar>
            <w:vAlign w:val="center"/>
          </w:tcPr>
          <w:p w14:paraId="1FA89ED8">
            <w:pPr>
              <w:spacing w:line="360" w:lineRule="exact"/>
              <w:jc w:val="center"/>
              <w:rPr>
                <w:rFonts w:hint="eastAsia"/>
              </w:rPr>
            </w:pPr>
            <w:r>
              <w:rPr>
                <w:sz w:val="24"/>
                <w:szCs w:val="24"/>
              </w:rPr>
              <w:t>6</w:t>
            </w:r>
          </w:p>
        </w:tc>
        <w:tc>
          <w:tcPr>
            <w:tcW w:w="2800" w:type="dxa"/>
            <w:tcBorders>
              <w:top w:val="single" w:color="000000" w:sz="4" w:space="0"/>
              <w:left w:val="single" w:color="000000" w:sz="4" w:space="0"/>
              <w:bottom w:val="single" w:color="000000" w:sz="4" w:space="0"/>
              <w:right w:val="single" w:color="000000" w:sz="4" w:space="0"/>
            </w:tcBorders>
            <w:tcMar>
              <w:top w:w="60" w:type="dxa"/>
              <w:left w:w="100" w:type="dxa"/>
              <w:bottom w:w="60" w:type="dxa"/>
              <w:right w:w="100" w:type="dxa"/>
            </w:tcMar>
            <w:vAlign w:val="center"/>
          </w:tcPr>
          <w:p w14:paraId="47B7EC9D">
            <w:pPr>
              <w:spacing w:line="360" w:lineRule="exact"/>
              <w:jc w:val="center"/>
              <w:rPr>
                <w:rFonts w:hint="eastAsia"/>
              </w:rPr>
            </w:pPr>
            <w:r>
              <w:rPr>
                <w:sz w:val="24"/>
                <w:szCs w:val="24"/>
              </w:rPr>
              <w:t>纬度</w:t>
            </w:r>
          </w:p>
        </w:tc>
        <w:tc>
          <w:tcPr>
            <w:tcW w:w="1000" w:type="dxa"/>
            <w:tcBorders>
              <w:top w:val="single" w:color="000000" w:sz="4" w:space="0"/>
              <w:left w:val="single" w:color="000000" w:sz="4" w:space="0"/>
              <w:bottom w:val="single" w:color="000000" w:sz="4" w:space="0"/>
              <w:right w:val="single" w:color="000000" w:sz="4" w:space="0"/>
            </w:tcBorders>
            <w:tcMar>
              <w:top w:w="60" w:type="dxa"/>
              <w:left w:w="100" w:type="dxa"/>
              <w:bottom w:w="60" w:type="dxa"/>
              <w:right w:w="100" w:type="dxa"/>
            </w:tcMar>
            <w:vAlign w:val="center"/>
          </w:tcPr>
          <w:p w14:paraId="5CAD6710">
            <w:pPr>
              <w:spacing w:line="360" w:lineRule="exact"/>
              <w:jc w:val="center"/>
              <w:rPr>
                <w:rFonts w:hint="eastAsia"/>
              </w:rPr>
            </w:pPr>
            <w:r>
              <w:rPr>
                <w:sz w:val="24"/>
                <w:szCs w:val="24"/>
              </w:rPr>
              <w:t>°</w:t>
            </w:r>
          </w:p>
        </w:tc>
        <w:tc>
          <w:tcPr>
            <w:tcW w:w="1800" w:type="dxa"/>
            <w:tcBorders>
              <w:top w:val="single" w:color="000000" w:sz="4" w:space="0"/>
              <w:left w:val="single" w:color="000000" w:sz="4" w:space="0"/>
              <w:bottom w:val="single" w:color="000000" w:sz="4" w:space="0"/>
              <w:right w:val="single" w:color="000000" w:sz="4" w:space="0"/>
            </w:tcBorders>
            <w:tcMar>
              <w:top w:w="60" w:type="dxa"/>
              <w:left w:w="100" w:type="dxa"/>
              <w:bottom w:w="60" w:type="dxa"/>
              <w:right w:w="100" w:type="dxa"/>
            </w:tcMar>
            <w:vAlign w:val="center"/>
          </w:tcPr>
          <w:p w14:paraId="72E938F4">
            <w:pPr>
              <w:spacing w:line="360" w:lineRule="exact"/>
              <w:jc w:val="center"/>
              <w:rPr>
                <w:rFonts w:hint="eastAsia"/>
              </w:rPr>
            </w:pPr>
            <w:r>
              <w:rPr>
                <w:sz w:val="24"/>
                <w:szCs w:val="24"/>
              </w:rPr>
              <w:t>0.000000</w:t>
            </w:r>
          </w:p>
        </w:tc>
        <w:tc>
          <w:tcPr>
            <w:tcW w:w="1800" w:type="dxa"/>
            <w:tcBorders>
              <w:top w:val="single" w:color="000000" w:sz="4" w:space="0"/>
              <w:left w:val="single" w:color="000000" w:sz="4" w:space="0"/>
              <w:bottom w:val="single" w:color="000000" w:sz="4" w:space="0"/>
              <w:right w:val="single" w:color="000000" w:sz="4" w:space="0"/>
            </w:tcBorders>
            <w:tcMar>
              <w:top w:w="60" w:type="dxa"/>
              <w:left w:w="100" w:type="dxa"/>
              <w:bottom w:w="60" w:type="dxa"/>
              <w:right w:w="100" w:type="dxa"/>
            </w:tcMar>
            <w:vAlign w:val="center"/>
          </w:tcPr>
          <w:p w14:paraId="0BE9D9F6">
            <w:pPr>
              <w:spacing w:line="360" w:lineRule="exact"/>
              <w:jc w:val="center"/>
              <w:rPr>
                <w:rFonts w:hint="eastAsia"/>
              </w:rPr>
            </w:pPr>
            <w:r>
              <w:rPr>
                <w:sz w:val="24"/>
                <w:szCs w:val="24"/>
              </w:rPr>
              <w:t>90.000000</w:t>
            </w:r>
          </w:p>
        </w:tc>
      </w:tr>
      <w:tr w14:paraId="734F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000000" w:sz="4" w:space="0"/>
              <w:left w:val="single" w:color="000000" w:sz="4" w:space="0"/>
              <w:bottom w:val="single" w:color="000000" w:sz="4" w:space="0"/>
              <w:right w:val="single" w:color="000000" w:sz="4" w:space="0"/>
            </w:tcBorders>
            <w:tcMar>
              <w:top w:w="60" w:type="dxa"/>
              <w:left w:w="100" w:type="dxa"/>
              <w:bottom w:w="60" w:type="dxa"/>
              <w:right w:w="100" w:type="dxa"/>
            </w:tcMar>
            <w:vAlign w:val="center"/>
          </w:tcPr>
          <w:p w14:paraId="0156D3D7">
            <w:pPr>
              <w:spacing w:line="360" w:lineRule="exact"/>
              <w:jc w:val="center"/>
              <w:rPr>
                <w:rFonts w:hint="eastAsia"/>
              </w:rPr>
            </w:pPr>
            <w:r>
              <w:rPr>
                <w:sz w:val="24"/>
                <w:szCs w:val="24"/>
              </w:rPr>
              <w:t>7</w:t>
            </w:r>
          </w:p>
        </w:tc>
        <w:tc>
          <w:tcPr>
            <w:tcW w:w="2800" w:type="dxa"/>
            <w:tcBorders>
              <w:top w:val="single" w:color="000000" w:sz="4" w:space="0"/>
              <w:left w:val="single" w:color="000000" w:sz="4" w:space="0"/>
              <w:bottom w:val="single" w:color="000000" w:sz="4" w:space="0"/>
              <w:right w:val="single" w:color="000000" w:sz="4" w:space="0"/>
            </w:tcBorders>
            <w:tcMar>
              <w:top w:w="60" w:type="dxa"/>
              <w:left w:w="100" w:type="dxa"/>
              <w:bottom w:w="60" w:type="dxa"/>
              <w:right w:w="100" w:type="dxa"/>
            </w:tcMar>
            <w:vAlign w:val="center"/>
          </w:tcPr>
          <w:p w14:paraId="0D76154C">
            <w:pPr>
              <w:spacing w:line="360" w:lineRule="exact"/>
              <w:jc w:val="center"/>
              <w:rPr>
                <w:rFonts w:hint="eastAsia"/>
              </w:rPr>
            </w:pPr>
            <w:r>
              <w:rPr>
                <w:sz w:val="24"/>
                <w:szCs w:val="24"/>
              </w:rPr>
              <w:t>车速</w:t>
            </w:r>
          </w:p>
        </w:tc>
        <w:tc>
          <w:tcPr>
            <w:tcW w:w="1000" w:type="dxa"/>
            <w:tcBorders>
              <w:top w:val="single" w:color="000000" w:sz="4" w:space="0"/>
              <w:left w:val="single" w:color="000000" w:sz="4" w:space="0"/>
              <w:bottom w:val="single" w:color="000000" w:sz="4" w:space="0"/>
              <w:right w:val="single" w:color="000000" w:sz="4" w:space="0"/>
            </w:tcBorders>
            <w:tcMar>
              <w:top w:w="60" w:type="dxa"/>
              <w:left w:w="100" w:type="dxa"/>
              <w:bottom w:w="60" w:type="dxa"/>
              <w:right w:w="100" w:type="dxa"/>
            </w:tcMar>
            <w:vAlign w:val="center"/>
          </w:tcPr>
          <w:p w14:paraId="67D4E531">
            <w:pPr>
              <w:spacing w:line="360" w:lineRule="exact"/>
              <w:jc w:val="center"/>
              <w:rPr>
                <w:rFonts w:hint="eastAsia"/>
              </w:rPr>
            </w:pPr>
            <w:r>
              <w:rPr>
                <w:sz w:val="24"/>
                <w:szCs w:val="24"/>
              </w:rPr>
              <w:t>km/h</w:t>
            </w:r>
          </w:p>
        </w:tc>
        <w:tc>
          <w:tcPr>
            <w:tcW w:w="1800" w:type="dxa"/>
            <w:tcBorders>
              <w:top w:val="single" w:color="000000" w:sz="4" w:space="0"/>
              <w:left w:val="single" w:color="000000" w:sz="4" w:space="0"/>
              <w:bottom w:val="single" w:color="000000" w:sz="4" w:space="0"/>
              <w:right w:val="single" w:color="000000" w:sz="4" w:space="0"/>
            </w:tcBorders>
            <w:tcMar>
              <w:top w:w="60" w:type="dxa"/>
              <w:left w:w="100" w:type="dxa"/>
              <w:bottom w:w="60" w:type="dxa"/>
              <w:right w:w="100" w:type="dxa"/>
            </w:tcMar>
            <w:vAlign w:val="center"/>
          </w:tcPr>
          <w:p w14:paraId="24F23752">
            <w:pPr>
              <w:spacing w:line="360" w:lineRule="exact"/>
              <w:jc w:val="center"/>
              <w:rPr>
                <w:rFonts w:hint="eastAsia"/>
              </w:rPr>
            </w:pPr>
            <w:r>
              <w:rPr>
                <w:sz w:val="24"/>
                <w:szCs w:val="24"/>
              </w:rPr>
              <w:t>0</w:t>
            </w:r>
          </w:p>
        </w:tc>
        <w:tc>
          <w:tcPr>
            <w:tcW w:w="1800" w:type="dxa"/>
            <w:tcBorders>
              <w:top w:val="single" w:color="000000" w:sz="4" w:space="0"/>
              <w:left w:val="single" w:color="000000" w:sz="4" w:space="0"/>
              <w:bottom w:val="single" w:color="000000" w:sz="4" w:space="0"/>
              <w:right w:val="single" w:color="000000" w:sz="4" w:space="0"/>
            </w:tcBorders>
            <w:tcMar>
              <w:top w:w="60" w:type="dxa"/>
              <w:left w:w="100" w:type="dxa"/>
              <w:bottom w:w="60" w:type="dxa"/>
              <w:right w:w="100" w:type="dxa"/>
            </w:tcMar>
            <w:vAlign w:val="center"/>
          </w:tcPr>
          <w:p w14:paraId="3CF70262">
            <w:pPr>
              <w:spacing w:line="360" w:lineRule="exact"/>
              <w:jc w:val="center"/>
              <w:rPr>
                <w:rFonts w:hint="eastAsia"/>
              </w:rPr>
            </w:pPr>
            <w:r>
              <w:rPr>
                <w:sz w:val="24"/>
                <w:szCs w:val="24"/>
              </w:rPr>
              <w:t>150</w:t>
            </w:r>
          </w:p>
        </w:tc>
      </w:tr>
    </w:tbl>
    <w:p w14:paraId="14AACCDA">
      <w:pPr>
        <w:spacing w:before="400" w:after="200" w:line="560" w:lineRule="exact"/>
        <w:ind w:firstLine="640"/>
        <w:rPr>
          <w:rFonts w:hint="eastAsia"/>
        </w:rPr>
      </w:pPr>
      <w:r>
        <w:rPr>
          <w:rFonts w:eastAsia="黑体"/>
          <w:b/>
          <w:bCs/>
        </w:rPr>
        <w:t xml:space="preserve">3. </w:t>
      </w:r>
      <w:r>
        <w:rPr>
          <w:rFonts w:hint="eastAsia" w:eastAsia="黑体"/>
          <w:b/>
          <w:bCs/>
        </w:rPr>
        <w:t>车辆在线情况判定</w:t>
      </w:r>
    </w:p>
    <w:p w14:paraId="0752AAB4">
      <w:pPr>
        <w:spacing w:after="0" w:line="240" w:lineRule="auto"/>
        <w:jc w:val="both"/>
        <w:rPr>
          <w:rFonts w:ascii="Times New Roman" w:hAnsi="Times New Roman" w:eastAsia="华文中宋" w:cs="Times New Roman"/>
          <w:sz w:val="44"/>
          <w:szCs w:val="44"/>
        </w:rPr>
      </w:pPr>
      <w:r>
        <w:drawing>
          <wp:inline distT="0" distB="0" distL="0" distR="0">
            <wp:extent cx="5616575" cy="2628900"/>
            <wp:effectExtent l="0" t="0" r="3175" b="0"/>
            <wp:docPr id="7437278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727800" name="图片 1"/>
                    <pic:cNvPicPr>
                      <a:picLocks noChangeAspect="1"/>
                    </pic:cNvPicPr>
                  </pic:nvPicPr>
                  <pic:blipFill>
                    <a:blip r:embed="rId6"/>
                    <a:stretch>
                      <a:fillRect/>
                    </a:stretch>
                  </pic:blipFill>
                  <pic:spPr>
                    <a:xfrm>
                      <a:off x="0" y="0"/>
                      <a:ext cx="5616575" cy="2628900"/>
                    </a:xfrm>
                    <a:prstGeom prst="rect">
                      <a:avLst/>
                    </a:prstGeom>
                  </pic:spPr>
                </pic:pic>
              </a:graphicData>
            </a:graphic>
          </wp:inline>
        </w:drawing>
      </w:r>
    </w:p>
    <w:p w14:paraId="0C4EA585">
      <w:pPr>
        <w:rPr>
          <w:rFonts w:ascii="Times New Roman" w:hAnsi="Times New Roman" w:cs="Times New Roman"/>
        </w:rPr>
      </w:pPr>
    </w:p>
    <w:p w14:paraId="539F3714">
      <w:pPr>
        <w:rPr>
          <w:rFonts w:ascii="Times New Roman" w:hAnsi="Times New Roman" w:cs="Times New Roman"/>
        </w:rPr>
      </w:pPr>
    </w:p>
    <w:p w14:paraId="2DB3568D">
      <w:pPr>
        <w:rPr>
          <w:rFonts w:ascii="Times New Roman" w:hAnsi="Times New Roman" w:cs="Times New Roman"/>
        </w:rPr>
      </w:pPr>
    </w:p>
    <w:p w14:paraId="358B60F0">
      <w:pPr>
        <w:rPr>
          <w:rFonts w:ascii="Times New Roman" w:hAnsi="Times New Roman" w:cs="Times New Roman"/>
        </w:rPr>
      </w:pPr>
    </w:p>
    <w:p w14:paraId="52DB5717">
      <w:pPr>
        <w:rPr>
          <w:rFonts w:ascii="Times New Roman" w:hAnsi="Times New Roman" w:cs="Times New Roman"/>
        </w:rPr>
      </w:pPr>
    </w:p>
    <w:p w14:paraId="77C7752E">
      <w:pPr>
        <w:rPr>
          <w:rFonts w:ascii="Times New Roman" w:hAnsi="Times New Roman" w:cs="Times New Roman"/>
        </w:rPr>
      </w:pPr>
    </w:p>
    <w:p w14:paraId="7F85C9B9">
      <w:pPr>
        <w:rPr>
          <w:rFonts w:ascii="Times New Roman" w:hAnsi="Times New Roman" w:cs="Times New Roman"/>
        </w:rPr>
      </w:pPr>
    </w:p>
    <w:p w14:paraId="10C9398A">
      <w:pPr>
        <w:widowControl/>
        <w:spacing w:after="0" w:line="240" w:lineRule="auto"/>
        <w:rPr>
          <w:rFonts w:ascii="Times New Roman" w:hAnsi="Times New Roman" w:eastAsia="华文中宋" w:cs="Times New Roman"/>
          <w:sz w:val="44"/>
          <w:szCs w:val="44"/>
        </w:rPr>
      </w:pPr>
    </w:p>
    <w:sectPr>
      <w:pgSz w:w="11906" w:h="16838"/>
      <w:pgMar w:top="2098" w:right="1474" w:bottom="1984" w:left="1587" w:header="708" w:footer="708" w:gutter="0"/>
      <w:cols w:space="720"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altName w:val="方正楷体_GBK"/>
    <w:panose1 w:val="02010600040101010101"/>
    <w:charset w:val="86"/>
    <w:family w:val="auto"/>
    <w:pitch w:val="default"/>
    <w:sig w:usb0="00000000" w:usb1="0000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C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E25"/>
    <w:rsid w:val="00021A3A"/>
    <w:rsid w:val="00027B94"/>
    <w:rsid w:val="00045808"/>
    <w:rsid w:val="00057A70"/>
    <w:rsid w:val="000D194D"/>
    <w:rsid w:val="000D42DA"/>
    <w:rsid w:val="00125849"/>
    <w:rsid w:val="00134E75"/>
    <w:rsid w:val="001575EB"/>
    <w:rsid w:val="001C2130"/>
    <w:rsid w:val="001C6C63"/>
    <w:rsid w:val="001E681B"/>
    <w:rsid w:val="00217A0F"/>
    <w:rsid w:val="002E459A"/>
    <w:rsid w:val="00380BFA"/>
    <w:rsid w:val="00387D5E"/>
    <w:rsid w:val="00437833"/>
    <w:rsid w:val="00463E69"/>
    <w:rsid w:val="00482D1D"/>
    <w:rsid w:val="00485D9D"/>
    <w:rsid w:val="004A0F98"/>
    <w:rsid w:val="004A298A"/>
    <w:rsid w:val="004B5A72"/>
    <w:rsid w:val="004F2BE9"/>
    <w:rsid w:val="004F361E"/>
    <w:rsid w:val="00512BC5"/>
    <w:rsid w:val="00527BA9"/>
    <w:rsid w:val="005431A7"/>
    <w:rsid w:val="00571AF8"/>
    <w:rsid w:val="005E6317"/>
    <w:rsid w:val="005E64F9"/>
    <w:rsid w:val="006A5631"/>
    <w:rsid w:val="006F5E18"/>
    <w:rsid w:val="007923D4"/>
    <w:rsid w:val="007C1557"/>
    <w:rsid w:val="007D5499"/>
    <w:rsid w:val="008B5E6B"/>
    <w:rsid w:val="0090062E"/>
    <w:rsid w:val="0091331B"/>
    <w:rsid w:val="0092221D"/>
    <w:rsid w:val="009304E9"/>
    <w:rsid w:val="009860F7"/>
    <w:rsid w:val="00A36B54"/>
    <w:rsid w:val="00AB11F7"/>
    <w:rsid w:val="00AE5611"/>
    <w:rsid w:val="00B07ED1"/>
    <w:rsid w:val="00B83541"/>
    <w:rsid w:val="00B9002D"/>
    <w:rsid w:val="00C25DCF"/>
    <w:rsid w:val="00C27EBB"/>
    <w:rsid w:val="00CF131F"/>
    <w:rsid w:val="00CF20E4"/>
    <w:rsid w:val="00D72976"/>
    <w:rsid w:val="00DD41E4"/>
    <w:rsid w:val="00E204BB"/>
    <w:rsid w:val="00E746D4"/>
    <w:rsid w:val="00E92FD2"/>
    <w:rsid w:val="00F12E25"/>
    <w:rsid w:val="00FB6102"/>
    <w:rsid w:val="00FF795B"/>
    <w:rsid w:val="2D77C0B2"/>
    <w:rsid w:val="37F5CF5C"/>
    <w:rsid w:val="3C8DBC2D"/>
    <w:rsid w:val="3DABD315"/>
    <w:rsid w:val="3DFF4AAA"/>
    <w:rsid w:val="47F8B982"/>
    <w:rsid w:val="5BFA63AE"/>
    <w:rsid w:val="6BAE65DE"/>
    <w:rsid w:val="76FF1F90"/>
    <w:rsid w:val="7B8FC330"/>
    <w:rsid w:val="7BAF75DF"/>
    <w:rsid w:val="7E7E9E3F"/>
    <w:rsid w:val="7EB69F3A"/>
    <w:rsid w:val="7FB76B35"/>
    <w:rsid w:val="7FFA49E9"/>
    <w:rsid w:val="8B7616D4"/>
    <w:rsid w:val="97FA1D83"/>
    <w:rsid w:val="9A670281"/>
    <w:rsid w:val="A5FF6CA9"/>
    <w:rsid w:val="AB7E1CB8"/>
    <w:rsid w:val="BA9A5A9D"/>
    <w:rsid w:val="BCF3BEFC"/>
    <w:rsid w:val="BE759902"/>
    <w:rsid w:val="BE7F5AB6"/>
    <w:rsid w:val="CD7744F6"/>
    <w:rsid w:val="DCFF74B8"/>
    <w:rsid w:val="DFBBDC7A"/>
    <w:rsid w:val="EE2DA3C8"/>
    <w:rsid w:val="EFF7789F"/>
    <w:rsid w:val="FB5F8C4B"/>
    <w:rsid w:val="FEF9FAAF"/>
    <w:rsid w:val="FF98BB76"/>
    <w:rsid w:val="FFDEFF0C"/>
    <w:rsid w:val="FFFB4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仿宋_GB2312" w:hAnsi="仿宋_GB2312" w:eastAsia="仿宋_GB2312" w:cs="仿宋_GB2312"/>
      <w:sz w:val="32"/>
      <w:szCs w:val="32"/>
      <w:lang w:val="en-US" w:eastAsia="zh-CN" w:bidi="ar-SA"/>
    </w:rPr>
  </w:style>
  <w:style w:type="paragraph" w:styleId="2">
    <w:name w:val="heading 1"/>
    <w:next w:val="1"/>
    <w:qFormat/>
    <w:uiPriority w:val="9"/>
    <w:pPr>
      <w:spacing w:after="160" w:line="278" w:lineRule="auto"/>
      <w:outlineLvl w:val="0"/>
    </w:pPr>
    <w:rPr>
      <w:rFonts w:ascii="仿宋_GB2312" w:hAnsi="仿宋_GB2312" w:eastAsia="仿宋_GB2312" w:cs="仿宋_GB2312"/>
      <w:color w:val="2E74B5"/>
      <w:sz w:val="32"/>
      <w:szCs w:val="32"/>
      <w:lang w:val="en-US" w:eastAsia="zh-CN" w:bidi="ar-SA"/>
    </w:rPr>
  </w:style>
  <w:style w:type="paragraph" w:styleId="3">
    <w:name w:val="heading 2"/>
    <w:next w:val="1"/>
    <w:semiHidden/>
    <w:unhideWhenUsed/>
    <w:qFormat/>
    <w:uiPriority w:val="9"/>
    <w:pPr>
      <w:spacing w:after="160" w:line="278" w:lineRule="auto"/>
      <w:outlineLvl w:val="1"/>
    </w:pPr>
    <w:rPr>
      <w:rFonts w:ascii="仿宋_GB2312" w:hAnsi="仿宋_GB2312" w:eastAsia="仿宋_GB2312" w:cs="仿宋_GB2312"/>
      <w:color w:val="2E74B5"/>
      <w:sz w:val="26"/>
      <w:szCs w:val="26"/>
      <w:lang w:val="en-US" w:eastAsia="zh-CN" w:bidi="ar-SA"/>
    </w:rPr>
  </w:style>
  <w:style w:type="paragraph" w:styleId="4">
    <w:name w:val="heading 3"/>
    <w:next w:val="1"/>
    <w:semiHidden/>
    <w:unhideWhenUsed/>
    <w:qFormat/>
    <w:uiPriority w:val="9"/>
    <w:pPr>
      <w:spacing w:after="160" w:line="278" w:lineRule="auto"/>
      <w:outlineLvl w:val="2"/>
    </w:pPr>
    <w:rPr>
      <w:rFonts w:ascii="仿宋_GB2312" w:hAnsi="仿宋_GB2312" w:eastAsia="仿宋_GB2312" w:cs="仿宋_GB2312"/>
      <w:color w:val="1F4D78"/>
      <w:sz w:val="24"/>
      <w:szCs w:val="24"/>
      <w:lang w:val="en-US" w:eastAsia="zh-CN" w:bidi="ar-SA"/>
    </w:rPr>
  </w:style>
  <w:style w:type="paragraph" w:styleId="5">
    <w:name w:val="heading 4"/>
    <w:next w:val="1"/>
    <w:semiHidden/>
    <w:unhideWhenUsed/>
    <w:qFormat/>
    <w:uiPriority w:val="9"/>
    <w:pPr>
      <w:spacing w:after="160" w:line="278" w:lineRule="auto"/>
      <w:outlineLvl w:val="3"/>
    </w:pPr>
    <w:rPr>
      <w:rFonts w:ascii="仿宋_GB2312" w:hAnsi="仿宋_GB2312" w:eastAsia="仿宋_GB2312" w:cs="仿宋_GB2312"/>
      <w:i/>
      <w:iCs/>
      <w:color w:val="2E74B5"/>
      <w:sz w:val="32"/>
      <w:szCs w:val="32"/>
      <w:lang w:val="en-US" w:eastAsia="zh-CN" w:bidi="ar-SA"/>
    </w:rPr>
  </w:style>
  <w:style w:type="paragraph" w:styleId="6">
    <w:name w:val="heading 5"/>
    <w:next w:val="1"/>
    <w:semiHidden/>
    <w:unhideWhenUsed/>
    <w:qFormat/>
    <w:uiPriority w:val="9"/>
    <w:pPr>
      <w:spacing w:after="160" w:line="278" w:lineRule="auto"/>
      <w:outlineLvl w:val="4"/>
    </w:pPr>
    <w:rPr>
      <w:rFonts w:ascii="仿宋_GB2312" w:hAnsi="仿宋_GB2312" w:eastAsia="仿宋_GB2312" w:cs="仿宋_GB2312"/>
      <w:color w:val="2E74B5"/>
      <w:sz w:val="32"/>
      <w:szCs w:val="32"/>
      <w:lang w:val="en-US" w:eastAsia="zh-CN" w:bidi="ar-SA"/>
    </w:rPr>
  </w:style>
  <w:style w:type="paragraph" w:styleId="7">
    <w:name w:val="heading 6"/>
    <w:next w:val="1"/>
    <w:semiHidden/>
    <w:unhideWhenUsed/>
    <w:qFormat/>
    <w:uiPriority w:val="9"/>
    <w:pPr>
      <w:spacing w:after="160" w:line="278" w:lineRule="auto"/>
      <w:outlineLvl w:val="5"/>
    </w:pPr>
    <w:rPr>
      <w:rFonts w:ascii="仿宋_GB2312" w:hAnsi="仿宋_GB2312" w:eastAsia="仿宋_GB2312" w:cs="仿宋_GB2312"/>
      <w:color w:val="1F4D78"/>
      <w:sz w:val="32"/>
      <w:szCs w:val="3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30"/>
    <w:semiHidden/>
    <w:unhideWhenUsed/>
    <w:qFormat/>
    <w:uiPriority w:val="99"/>
  </w:style>
  <w:style w:type="paragraph" w:styleId="9">
    <w:name w:val="endnote text"/>
    <w:link w:val="25"/>
    <w:semiHidden/>
    <w:unhideWhenUsed/>
    <w:qFormat/>
    <w:uiPriority w:val="99"/>
    <w:pPr>
      <w:spacing w:after="160" w:line="278" w:lineRule="auto"/>
    </w:pPr>
    <w:rPr>
      <w:rFonts w:ascii="仿宋_GB2312" w:hAnsi="仿宋_GB2312" w:eastAsia="仿宋_GB2312" w:cs="仿宋_GB2312"/>
      <w:lang w:val="en-US" w:eastAsia="zh-CN" w:bidi="ar-SA"/>
    </w:rPr>
  </w:style>
  <w:style w:type="paragraph" w:styleId="10">
    <w:name w:val="footnote text"/>
    <w:link w:val="24"/>
    <w:semiHidden/>
    <w:unhideWhenUsed/>
    <w:qFormat/>
    <w:uiPriority w:val="99"/>
    <w:pPr>
      <w:spacing w:after="160" w:line="278" w:lineRule="auto"/>
    </w:pPr>
    <w:rPr>
      <w:rFonts w:ascii="仿宋_GB2312" w:hAnsi="仿宋_GB2312" w:eastAsia="仿宋_GB2312" w:cs="仿宋_GB2312"/>
      <w:lang w:val="en-US" w:eastAsia="zh-CN" w:bidi="ar-SA"/>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Title"/>
    <w:qFormat/>
    <w:uiPriority w:val="10"/>
    <w:pPr>
      <w:spacing w:after="160" w:line="278" w:lineRule="auto"/>
    </w:pPr>
    <w:rPr>
      <w:rFonts w:ascii="仿宋_GB2312" w:hAnsi="仿宋_GB2312" w:eastAsia="仿宋_GB2312" w:cs="仿宋_GB2312"/>
      <w:sz w:val="56"/>
      <w:szCs w:val="56"/>
      <w:lang w:val="en-US" w:eastAsia="zh-CN" w:bidi="ar-SA"/>
    </w:rPr>
  </w:style>
  <w:style w:type="paragraph" w:styleId="13">
    <w:name w:val="annotation subject"/>
    <w:basedOn w:val="8"/>
    <w:next w:val="8"/>
    <w:link w:val="31"/>
    <w:semiHidden/>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character" w:styleId="18">
    <w:name w:val="endnote reference"/>
    <w:semiHidden/>
    <w:unhideWhenUsed/>
    <w:qFormat/>
    <w:uiPriority w:val="99"/>
    <w:rPr>
      <w:vertAlign w:val="superscript"/>
    </w:rPr>
  </w:style>
  <w:style w:type="character" w:styleId="19">
    <w:name w:val="Hyperlink"/>
    <w:unhideWhenUsed/>
    <w:qFormat/>
    <w:uiPriority w:val="99"/>
    <w:rPr>
      <w:color w:val="0563C1"/>
      <w:u w:val="single"/>
    </w:rPr>
  </w:style>
  <w:style w:type="character" w:styleId="20">
    <w:name w:val="annotation reference"/>
    <w:basedOn w:val="16"/>
    <w:semiHidden/>
    <w:unhideWhenUsed/>
    <w:qFormat/>
    <w:uiPriority w:val="99"/>
    <w:rPr>
      <w:sz w:val="21"/>
      <w:szCs w:val="21"/>
    </w:rPr>
  </w:style>
  <w:style w:type="character" w:styleId="21">
    <w:name w:val="footnote reference"/>
    <w:semiHidden/>
    <w:unhideWhenUsed/>
    <w:qFormat/>
    <w:uiPriority w:val="99"/>
    <w:rPr>
      <w:vertAlign w:val="superscript"/>
    </w:rPr>
  </w:style>
  <w:style w:type="paragraph" w:customStyle="1" w:styleId="22">
    <w:name w:val="要点1"/>
    <w:qFormat/>
    <w:uiPriority w:val="0"/>
    <w:pPr>
      <w:spacing w:after="160" w:line="278" w:lineRule="auto"/>
    </w:pPr>
    <w:rPr>
      <w:rFonts w:ascii="仿宋_GB2312" w:hAnsi="仿宋_GB2312" w:eastAsia="仿宋_GB2312" w:cs="仿宋_GB2312"/>
      <w:b/>
      <w:bCs/>
      <w:sz w:val="32"/>
      <w:szCs w:val="32"/>
      <w:lang w:val="en-US" w:eastAsia="zh-CN" w:bidi="ar-SA"/>
    </w:rPr>
  </w:style>
  <w:style w:type="paragraph" w:styleId="23">
    <w:name w:val="List Paragraph"/>
    <w:qFormat/>
    <w:uiPriority w:val="0"/>
    <w:pPr>
      <w:spacing w:after="160" w:line="278" w:lineRule="auto"/>
    </w:pPr>
    <w:rPr>
      <w:rFonts w:ascii="仿宋_GB2312" w:hAnsi="仿宋_GB2312" w:eastAsia="仿宋_GB2312" w:cs="仿宋_GB2312"/>
      <w:sz w:val="32"/>
      <w:szCs w:val="32"/>
      <w:lang w:val="en-US" w:eastAsia="zh-CN" w:bidi="ar-SA"/>
    </w:rPr>
  </w:style>
  <w:style w:type="character" w:customStyle="1" w:styleId="24">
    <w:name w:val="脚注文本 字符"/>
    <w:link w:val="10"/>
    <w:semiHidden/>
    <w:unhideWhenUsed/>
    <w:qFormat/>
    <w:uiPriority w:val="99"/>
    <w:rPr>
      <w:sz w:val="20"/>
      <w:szCs w:val="20"/>
    </w:rPr>
  </w:style>
  <w:style w:type="character" w:customStyle="1" w:styleId="25">
    <w:name w:val="尾注文本 字符"/>
    <w:link w:val="9"/>
    <w:semiHidden/>
    <w:unhideWhenUsed/>
    <w:qFormat/>
    <w:uiPriority w:val="99"/>
    <w:rPr>
      <w:sz w:val="20"/>
      <w:szCs w:val="20"/>
    </w:rPr>
  </w:style>
  <w:style w:type="paragraph" w:customStyle="1" w:styleId="26">
    <w:name w:val="修订1"/>
    <w:hidden/>
    <w:unhideWhenUsed/>
    <w:qFormat/>
    <w:uiPriority w:val="99"/>
    <w:pPr>
      <w:spacing w:after="160" w:line="278" w:lineRule="auto"/>
    </w:pPr>
    <w:rPr>
      <w:rFonts w:ascii="仿宋_GB2312" w:hAnsi="仿宋_GB2312" w:eastAsia="仿宋_GB2312" w:cs="仿宋_GB2312"/>
      <w:sz w:val="32"/>
      <w:szCs w:val="32"/>
      <w:lang w:val="en-US" w:eastAsia="zh-CN" w:bidi="ar-SA"/>
    </w:rPr>
  </w:style>
  <w:style w:type="paragraph" w:customStyle="1" w:styleId="27">
    <w:name w:val="修订2"/>
    <w:hidden/>
    <w:unhideWhenUsed/>
    <w:qFormat/>
    <w:uiPriority w:val="99"/>
    <w:pPr>
      <w:spacing w:after="160" w:line="278" w:lineRule="auto"/>
    </w:pPr>
    <w:rPr>
      <w:rFonts w:ascii="仿宋_GB2312" w:hAnsi="仿宋_GB2312" w:eastAsia="仿宋_GB2312" w:cs="仿宋_GB2312"/>
      <w:sz w:val="32"/>
      <w:szCs w:val="32"/>
      <w:lang w:val="en-US" w:eastAsia="zh-CN" w:bidi="ar-SA"/>
    </w:rPr>
  </w:style>
  <w:style w:type="paragraph" w:customStyle="1" w:styleId="28">
    <w:name w:val="修订3"/>
    <w:hidden/>
    <w:unhideWhenUsed/>
    <w:qFormat/>
    <w:uiPriority w:val="99"/>
    <w:pPr>
      <w:spacing w:after="160" w:line="278" w:lineRule="auto"/>
    </w:pPr>
    <w:rPr>
      <w:rFonts w:ascii="仿宋_GB2312" w:hAnsi="仿宋_GB2312" w:eastAsia="仿宋_GB2312" w:cs="仿宋_GB2312"/>
      <w:sz w:val="32"/>
      <w:szCs w:val="32"/>
      <w:lang w:val="en-US" w:eastAsia="zh-CN" w:bidi="ar-SA"/>
    </w:rPr>
  </w:style>
  <w:style w:type="paragraph" w:customStyle="1" w:styleId="29">
    <w:name w:val="修订4"/>
    <w:hidden/>
    <w:unhideWhenUsed/>
    <w:qFormat/>
    <w:uiPriority w:val="99"/>
    <w:rPr>
      <w:rFonts w:ascii="仿宋_GB2312" w:hAnsi="仿宋_GB2312" w:eastAsia="仿宋_GB2312" w:cs="仿宋_GB2312"/>
      <w:sz w:val="32"/>
      <w:szCs w:val="32"/>
      <w:lang w:val="en-US" w:eastAsia="zh-CN" w:bidi="ar-SA"/>
    </w:rPr>
  </w:style>
  <w:style w:type="character" w:customStyle="1" w:styleId="30">
    <w:name w:val="批注文字 字符"/>
    <w:basedOn w:val="16"/>
    <w:link w:val="8"/>
    <w:semiHidden/>
    <w:qFormat/>
    <w:uiPriority w:val="99"/>
    <w:rPr>
      <w:sz w:val="32"/>
      <w:szCs w:val="32"/>
    </w:rPr>
  </w:style>
  <w:style w:type="character" w:customStyle="1" w:styleId="31">
    <w:name w:val="批注主题 字符"/>
    <w:basedOn w:val="30"/>
    <w:link w:val="13"/>
    <w:semiHidden/>
    <w:qFormat/>
    <w:uiPriority w:val="99"/>
    <w:rPr>
      <w:b/>
      <w:bCs/>
      <w:sz w:val="32"/>
      <w:szCs w:val="32"/>
    </w:rPr>
  </w:style>
  <w:style w:type="paragraph" w:customStyle="1" w:styleId="32">
    <w:name w:val="修订5"/>
    <w:hidden/>
    <w:unhideWhenUsed/>
    <w:qFormat/>
    <w:uiPriority w:val="99"/>
    <w:rPr>
      <w:rFonts w:ascii="仿宋_GB2312" w:hAnsi="仿宋_GB2312" w:eastAsia="仿宋_GB2312" w:cs="仿宋_GB2312"/>
      <w:sz w:val="32"/>
      <w:szCs w:val="32"/>
      <w:lang w:val="en-US" w:eastAsia="zh-CN" w:bidi="ar-SA"/>
    </w:rPr>
  </w:style>
  <w:style w:type="paragraph" w:customStyle="1" w:styleId="33">
    <w:name w:val="修订6"/>
    <w:hidden/>
    <w:unhideWhenUsed/>
    <w:qFormat/>
    <w:uiPriority w:val="99"/>
    <w:rPr>
      <w:rFonts w:ascii="仿宋_GB2312" w:hAnsi="仿宋_GB2312" w:eastAsia="仿宋_GB2312" w:cs="仿宋_GB2312"/>
      <w:sz w:val="32"/>
      <w:szCs w:val="32"/>
      <w:lang w:val="en-US" w:eastAsia="zh-CN" w:bidi="ar-SA"/>
    </w:rPr>
  </w:style>
  <w:style w:type="paragraph" w:customStyle="1" w:styleId="34">
    <w:name w:val="Revision"/>
    <w:hidden/>
    <w:unhideWhenUsed/>
    <w:qFormat/>
    <w:uiPriority w:val="99"/>
    <w:rPr>
      <w:rFonts w:ascii="仿宋_GB2312" w:hAnsi="仿宋_GB2312" w:eastAsia="仿宋_GB2312" w:cs="仿宋_GB231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13</Pages>
  <Words>853</Words>
  <Characters>4864</Characters>
  <Lines>40</Lines>
  <Paragraphs>11</Paragraphs>
  <TotalTime>5</TotalTime>
  <ScaleCrop>false</ScaleCrop>
  <LinksUpToDate>false</LinksUpToDate>
  <CharactersWithSpaces>5706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2026-05-23T04:12:00Z</dcterms:created>
  <dc:creator>Un-named</dc:creator>
  <cp:lastModifiedBy>刘思乐curry</cp:lastModifiedBy>
  <dcterms:modified xsi:type="dcterms:W3CDTF">2026-05-22T17:17:24Z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0298B3E9057B79E3241F106AA4B4B080_43</vt:lpwstr>
  </property>
  <property fmtid="{D5CDD505-2E9C-101B-9397-08002B2CF9AE}" pid="4" name="KSOTemplateDocerSaveRecord">
    <vt:lpwstr>eyJoZGlkIjoiNTgzNjhhMDk3Mjc0NmY0Mjg4MDg2Mjg1MGE3OWJlMWQiLCJ1c2VySWQiOiIzNDMwODAwNTAifQ==</vt:lpwstr>
  </property>
</Properties>
</file>