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rPr>
          <w:rFonts w:eastAsia="黑体"/>
          <w:sz w:val="32"/>
          <w:szCs w:val="32"/>
        </w:rPr>
      </w:pPr>
    </w:p>
    <w:p>
      <w:pPr>
        <w:overflowPunct w:val="0"/>
        <w:topLinePunct/>
        <w:jc w:val="center"/>
        <w:rPr>
          <w:rFonts w:ascii="华文中宋" w:hAnsi="华文中宋" w:eastAsia="华文中宋" w:cs="华文中宋"/>
          <w:spacing w:val="-10"/>
          <w:sz w:val="44"/>
          <w:szCs w:val="44"/>
        </w:rPr>
      </w:pPr>
      <w:r>
        <w:rPr>
          <w:rFonts w:hint="eastAsia" w:ascii="华文中宋" w:hAnsi="华文中宋" w:eastAsia="华文中宋" w:cs="华文中宋"/>
          <w:spacing w:val="-10"/>
          <w:sz w:val="44"/>
          <w:szCs w:val="44"/>
        </w:rPr>
        <w:t>《生态环境领域市场轻微违法违规行为免罚清单（征求意见稿）》起草说明</w:t>
      </w:r>
    </w:p>
    <w:p>
      <w:pPr>
        <w:overflowPunct w:val="0"/>
        <w:topLinePunct/>
        <w:ind w:firstLine="640" w:firstLineChars="200"/>
        <w:outlineLvl w:val="0"/>
        <w:rPr>
          <w:rFonts w:eastAsia="黑体"/>
          <w:sz w:val="32"/>
          <w:szCs w:val="32"/>
        </w:rPr>
      </w:pPr>
    </w:p>
    <w:p>
      <w:pPr>
        <w:overflowPunct w:val="0"/>
        <w:topLinePunct/>
        <w:spacing w:line="360" w:lineRule="auto"/>
        <w:ind w:firstLine="640" w:firstLineChars="200"/>
        <w:rPr>
          <w:rFonts w:eastAsia="仿宋_GB2312"/>
          <w:sz w:val="32"/>
          <w:szCs w:val="32"/>
        </w:rPr>
      </w:pPr>
      <w:r>
        <w:rPr>
          <w:rFonts w:hint="eastAsia" w:eastAsia="仿宋_GB2312"/>
          <w:sz w:val="32"/>
          <w:szCs w:val="32"/>
        </w:rPr>
        <w:t>为贯彻落实《上海市全面深化国际一流营商环境建设实施方案》有关要求，在生态环境领域探索包容审慎监管，激发市场活力，不断优化更具国际竞争力的营商环境，促进经济持续健康发展，上海市司法局、上海市生态环境局共同起草了《生态环境领域市场轻微违法违规行为免罚清单（征求意见稿）》（以下简称《免罚清单》）。现将有关情况说明如下：</w:t>
      </w:r>
    </w:p>
    <w:p>
      <w:pPr>
        <w:overflowPunct w:val="0"/>
        <w:topLinePunct/>
        <w:spacing w:line="360" w:lineRule="auto"/>
        <w:ind w:firstLine="640" w:firstLineChars="200"/>
        <w:outlineLvl w:val="0"/>
        <w:rPr>
          <w:rFonts w:eastAsia="黑体"/>
          <w:sz w:val="32"/>
          <w:szCs w:val="32"/>
        </w:rPr>
      </w:pPr>
      <w:r>
        <w:rPr>
          <w:rFonts w:hint="eastAsia" w:eastAsia="黑体"/>
          <w:sz w:val="32"/>
          <w:szCs w:val="32"/>
        </w:rPr>
        <w:t>一、</w:t>
      </w:r>
      <w:r>
        <w:rPr>
          <w:rFonts w:hint="eastAsia" w:eastAsia="黑体"/>
          <w:sz w:val="32"/>
          <w:szCs w:val="32"/>
          <w:lang w:eastAsia="zh-CN"/>
        </w:rPr>
        <w:t>起草</w:t>
      </w:r>
      <w:r>
        <w:rPr>
          <w:rFonts w:hint="eastAsia" w:eastAsia="黑体"/>
          <w:sz w:val="32"/>
          <w:szCs w:val="32"/>
        </w:rPr>
        <w:t>背景</w:t>
      </w:r>
    </w:p>
    <w:p>
      <w:pPr>
        <w:overflowPunct w:val="0"/>
        <w:topLinePunct/>
        <w:spacing w:line="360" w:lineRule="auto"/>
        <w:ind w:firstLine="643" w:firstLineChars="200"/>
        <w:rPr>
          <w:rFonts w:eastAsia="仿宋_GB2312"/>
          <w:sz w:val="32"/>
          <w:szCs w:val="32"/>
        </w:rPr>
      </w:pPr>
      <w:r>
        <w:rPr>
          <w:rFonts w:hint="eastAsia" w:ascii="楷体" w:hAnsi="楷体" w:eastAsia="楷体"/>
          <w:b/>
          <w:sz w:val="32"/>
          <w:szCs w:val="32"/>
        </w:rPr>
        <w:t>一是不断推进生态环境治理体系和治理能力现代化的需要。</w:t>
      </w:r>
      <w:r>
        <w:rPr>
          <w:rFonts w:hint="eastAsia" w:ascii="Times New Roman" w:hAnsi="Times New Roman" w:eastAsia="仿宋_GB2312"/>
          <w:b w:val="0"/>
          <w:sz w:val="32"/>
          <w:szCs w:val="32"/>
        </w:rPr>
        <w:t>《</w:t>
      </w:r>
      <w:r>
        <w:rPr>
          <w:rFonts w:ascii="Times New Roman" w:hAnsi="Times New Roman" w:eastAsia="仿宋_GB2312" w:cs="Times New Roman"/>
          <w:color w:val="auto"/>
          <w:spacing w:val="0"/>
          <w:sz w:val="32"/>
          <w:szCs w:val="32"/>
        </w:rPr>
        <w:t>中共中央关于坚持和完善中国特色社会主义制度推进国家治理体系和治理能力现代化若干重大问题的决定</w:t>
      </w:r>
      <w:r>
        <w:rPr>
          <w:rFonts w:hint="eastAsia" w:ascii="Times New Roman" w:hAnsi="Times New Roman" w:eastAsia="仿宋_GB2312"/>
          <w:b w:val="0"/>
          <w:sz w:val="32"/>
          <w:szCs w:val="32"/>
        </w:rPr>
        <w:t>》要求，</w:t>
      </w:r>
      <w:r>
        <w:rPr>
          <w:rFonts w:hint="eastAsia" w:eastAsia="仿宋_GB2312"/>
          <w:sz w:val="32"/>
          <w:szCs w:val="32"/>
        </w:rPr>
        <w:t>推进国家治理体系和治理能力现代化，完善生态环境保护执法制度，严格规范公正文明执法。中共中央办公厅、国务院办公厅《关于构建现代环境治理体系的指导意见》要求，完善监管机制。生态环境部《关于在生态环境系统推进行政执法公示制度执法全过程记录制度重大执法决定法制审核制度的实施意见》《关于进一步规范适用环境行政处罚自由裁量权的指导意见》要求，</w:t>
      </w:r>
      <w:r>
        <w:rPr>
          <w:rFonts w:hint="eastAsia" w:eastAsia="仿宋_GB2312"/>
          <w:sz w:val="32"/>
          <w:szCs w:val="32"/>
          <w:lang w:eastAsia="zh-CN"/>
        </w:rPr>
        <w:t>促进生态环境保护综合执法队伍严格规范公正文明执法，规范生态环境行政处罚自由裁量权的适用</w:t>
      </w:r>
      <w:r>
        <w:rPr>
          <w:rFonts w:hint="eastAsia" w:eastAsia="仿宋_GB2312"/>
          <w:sz w:val="32"/>
          <w:szCs w:val="32"/>
          <w:highlight w:val="none"/>
        </w:rPr>
        <w:t>。</w:t>
      </w:r>
      <w:r>
        <w:rPr>
          <w:rFonts w:hint="eastAsia" w:eastAsia="仿宋_GB2312"/>
          <w:sz w:val="32"/>
          <w:szCs w:val="32"/>
        </w:rPr>
        <w:t>《免罚清单》有利于细化生态环境领域执法裁量权、完善环境执法监管机制、提升生态环境执法效能，推动形成合法合理公平高效的生态环境执法体系。</w:t>
      </w:r>
    </w:p>
    <w:p>
      <w:pPr>
        <w:overflowPunct w:val="0"/>
        <w:topLinePunct/>
        <w:spacing w:line="360" w:lineRule="auto"/>
        <w:ind w:firstLine="643" w:firstLineChars="200"/>
        <w:rPr>
          <w:rFonts w:eastAsia="仿宋_GB2312"/>
          <w:sz w:val="32"/>
          <w:szCs w:val="32"/>
        </w:rPr>
      </w:pPr>
      <w:r>
        <w:rPr>
          <w:rFonts w:hint="eastAsia" w:ascii="楷体" w:hAnsi="楷体" w:eastAsia="楷体"/>
          <w:b/>
          <w:bCs/>
          <w:sz w:val="32"/>
          <w:szCs w:val="32"/>
        </w:rPr>
        <w:t>二是深入探索包容审慎监管、持续优化营商环境的需要。</w:t>
      </w:r>
      <w:r>
        <w:rPr>
          <w:rFonts w:hint="eastAsia" w:eastAsia="仿宋_GB2312"/>
          <w:sz w:val="32"/>
          <w:szCs w:val="32"/>
        </w:rPr>
        <w:t>2020年1月，市委办公厅、市政府办公厅出台了《上海市全面深化国际一流营商环境建设实施方案》。方案要求，深入探索包容审慎监管，进一步细化行政处罚裁量权，打造国际一流营商环境。法治是本市不断优化更具国际竞争力的营商环境的根本保障。作为包容审慎监管举措，制定《免罚清单》有利于规范生态环境领域行政处罚权行使，保护行政相对人合法权益，对持续优化本市营商环境具有重要意义。</w:t>
      </w:r>
    </w:p>
    <w:p>
      <w:pPr>
        <w:overflowPunct w:val="0"/>
        <w:topLinePunct/>
        <w:spacing w:line="360" w:lineRule="auto"/>
        <w:ind w:firstLine="643" w:firstLineChars="200"/>
        <w:rPr>
          <w:rFonts w:eastAsia="黑体"/>
          <w:sz w:val="32"/>
          <w:szCs w:val="32"/>
        </w:rPr>
      </w:pPr>
      <w:r>
        <w:rPr>
          <w:rFonts w:hint="eastAsia" w:ascii="楷体" w:hAnsi="楷体" w:eastAsia="楷体"/>
          <w:b/>
          <w:bCs/>
          <w:sz w:val="32"/>
          <w:szCs w:val="32"/>
        </w:rPr>
        <w:t>三是不断优化监管方式、提高执法效率的需要。</w:t>
      </w:r>
      <w:r>
        <w:rPr>
          <w:rFonts w:hint="eastAsia" w:ascii="Times New Roman" w:hAnsi="Times New Roman" w:eastAsia="仿宋_GB2312"/>
          <w:b w:val="0"/>
          <w:bCs w:val="0"/>
          <w:sz w:val="32"/>
          <w:szCs w:val="32"/>
        </w:rPr>
        <w:t>生态环境领域执法</w:t>
      </w:r>
      <w:r>
        <w:rPr>
          <w:rFonts w:hint="eastAsia" w:eastAsia="仿宋_GB2312"/>
          <w:sz w:val="32"/>
          <w:szCs w:val="32"/>
        </w:rPr>
        <w:t>量大面广，违法行为人种类多样，违法行为表现差异较大，生态环境执法部门探索、优化、创新监管理念和方式，深化落实精准治污、科学治污、依法治污，在严格执法的同时坚持宽严相济、过罚相当原则，制定《免罚清单》，有利于在执法监管中进一步紧抓重点排污单位、重点监管领域，把有限的资源和力量集中在更需要的地方，助力打赢污染防治攻坚战，不断改善环境质量。</w:t>
      </w:r>
    </w:p>
    <w:p>
      <w:pPr>
        <w:overflowPunct w:val="0"/>
        <w:topLinePunct/>
        <w:spacing w:line="360" w:lineRule="auto"/>
        <w:ind w:firstLine="643" w:firstLineChars="200"/>
        <w:rPr>
          <w:rFonts w:eastAsia="仿宋_GB2312"/>
          <w:sz w:val="32"/>
          <w:szCs w:val="32"/>
        </w:rPr>
      </w:pPr>
      <w:r>
        <w:rPr>
          <w:rFonts w:hint="eastAsia" w:ascii="楷体" w:hAnsi="楷体" w:eastAsia="楷体"/>
          <w:b/>
          <w:bCs/>
          <w:sz w:val="32"/>
          <w:szCs w:val="32"/>
        </w:rPr>
        <w:t>四是细化法律规定、更好地指导生态环境执法实践的需要。</w:t>
      </w:r>
      <w:r>
        <w:rPr>
          <w:rFonts w:hint="eastAsia" w:eastAsia="仿宋_GB2312"/>
          <w:sz w:val="32"/>
          <w:szCs w:val="32"/>
        </w:rPr>
        <w:t>《中华人民共和国行政处罚法》《环境行政处罚办法》等法律、规章均有不予处罚的规定，但由于缺乏明确、细化的制度依据，执法人员在执法实践中对轻微违法的具体案件不敢轻易认定，并进而依法不予处罚。这影响了法律法规有关规定的具体落实。《免罚清单》将依法不予处罚的违法行为具体化、标准化，为执法人员提供了明确的执法工作指引，有利于进一步提升本市生态环境领域执法精细化水平，进一步规范生态环境领域执法行为，同时也给行政相对人一定的容错空间，促进社会经济发展与生态环境保护的协调发展。</w:t>
      </w:r>
    </w:p>
    <w:p>
      <w:pPr>
        <w:pStyle w:val="12"/>
        <w:spacing w:beforeLines="50" w:line="360" w:lineRule="auto"/>
        <w:ind w:firstLine="640"/>
        <w:outlineLvl w:val="0"/>
        <w:rPr>
          <w:rFonts w:eastAsia="黑体"/>
          <w:sz w:val="32"/>
          <w:szCs w:val="32"/>
        </w:rPr>
      </w:pPr>
      <w:r>
        <w:rPr>
          <w:rFonts w:hint="eastAsia" w:eastAsia="黑体"/>
          <w:sz w:val="32"/>
          <w:szCs w:val="32"/>
        </w:rPr>
        <w:t>二、</w:t>
      </w:r>
      <w:r>
        <w:rPr>
          <w:rFonts w:hint="eastAsia" w:eastAsia="黑体"/>
          <w:sz w:val="32"/>
          <w:szCs w:val="32"/>
          <w:lang w:eastAsia="zh-CN"/>
        </w:rPr>
        <w:t>主要</w:t>
      </w:r>
      <w:r>
        <w:rPr>
          <w:rFonts w:hint="eastAsia" w:eastAsia="黑体"/>
          <w:sz w:val="32"/>
          <w:szCs w:val="32"/>
        </w:rPr>
        <w:t>思路和原则</w:t>
      </w:r>
    </w:p>
    <w:p>
      <w:pPr>
        <w:spacing w:line="360" w:lineRule="auto"/>
        <w:ind w:firstLine="640" w:firstLineChars="200"/>
        <w:rPr>
          <w:rFonts w:ascii="楷体" w:hAnsi="楷体" w:eastAsia="楷体"/>
          <w:b/>
          <w:bCs/>
          <w:sz w:val="32"/>
          <w:szCs w:val="32"/>
        </w:rPr>
      </w:pPr>
      <w:r>
        <w:rPr>
          <w:rFonts w:hint="eastAsia" w:eastAsia="仿宋_GB2312"/>
          <w:sz w:val="32"/>
          <w:szCs w:val="32"/>
        </w:rPr>
        <w:t>根据调研情况，在充分吸收各方意见的基础上，起草工作明确了以下工作思路和原则：</w:t>
      </w:r>
    </w:p>
    <w:p>
      <w:pPr>
        <w:spacing w:line="360" w:lineRule="auto"/>
        <w:ind w:firstLine="643" w:firstLineChars="200"/>
        <w:rPr>
          <w:rFonts w:eastAsia="仿宋_GB2312"/>
          <w:sz w:val="32"/>
          <w:szCs w:val="32"/>
        </w:rPr>
      </w:pPr>
      <w:r>
        <w:rPr>
          <w:rFonts w:hint="eastAsia" w:ascii="楷体" w:hAnsi="楷体" w:eastAsia="楷体"/>
          <w:b/>
          <w:bCs/>
          <w:sz w:val="32"/>
          <w:szCs w:val="32"/>
        </w:rPr>
        <w:t>一是严格遵守有关法律法规规章的规定。</w:t>
      </w:r>
      <w:r>
        <w:rPr>
          <w:rFonts w:hint="eastAsia" w:eastAsia="仿宋_GB2312"/>
          <w:sz w:val="32"/>
          <w:szCs w:val="32"/>
        </w:rPr>
        <w:t>《免罚清单》的免罚事项严格遵守《中华人民共和国行政处罚法》《环境行政处罚办法》和生态环境保护相关法律法规规章的规定，以环境违法行为轻微、及时纠正、未造成环境危害后果三个构成要件作为免罚条件，不创设、不突破。同时，针对法条、结合执法实践，重点厘清、细化了违法行为轻微的具体情形，为执法人员提供执法操作依据，防止执法随意、标准不一。</w:t>
      </w:r>
    </w:p>
    <w:p>
      <w:pPr>
        <w:spacing w:line="360" w:lineRule="auto"/>
        <w:ind w:firstLine="643" w:firstLineChars="200"/>
        <w:rPr>
          <w:rFonts w:eastAsia="仿宋_GB2312"/>
          <w:sz w:val="32"/>
          <w:szCs w:val="32"/>
        </w:rPr>
      </w:pPr>
      <w:r>
        <w:rPr>
          <w:rFonts w:hint="eastAsia" w:ascii="楷体" w:hAnsi="楷体" w:eastAsia="楷体"/>
          <w:b/>
          <w:bCs/>
          <w:sz w:val="32"/>
          <w:szCs w:val="32"/>
        </w:rPr>
        <w:t>二是严格界定违法行为轻微的认定条件。</w:t>
      </w:r>
      <w:r>
        <w:rPr>
          <w:rFonts w:hint="eastAsia" w:eastAsia="仿宋_GB2312"/>
          <w:sz w:val="32"/>
          <w:szCs w:val="32"/>
        </w:rPr>
        <w:t>根据本市2015-2019年环境行政处罚数据和执法实践情况，参考外省市经验，结合市场主体普遍诉求，《免罚清单》依照《中华人民共和国行政处罚法》《环境行政处罚办法》不予处罚相关规定，按照违法行为未造成实质危害后果、持续时间短、污染小的原则明确了11项轻微环境违法行为。每项轻微环境违法行为均明确了其认定条件，</w:t>
      </w:r>
      <w:r>
        <w:rPr>
          <w:rFonts w:hint="eastAsia" w:ascii="Times New Roman" w:hAnsi="Times New Roman" w:eastAsia="仿宋_GB2312"/>
          <w:b w:val="0"/>
          <w:bCs w:val="0"/>
          <w:sz w:val="32"/>
          <w:szCs w:val="32"/>
        </w:rPr>
        <w:t>如</w:t>
      </w:r>
      <w:r>
        <w:rPr>
          <w:rFonts w:hint="eastAsia" w:eastAsia="仿宋_GB2312"/>
          <w:sz w:val="32"/>
          <w:szCs w:val="32"/>
        </w:rPr>
        <w:t>第4-11项明确违法行为必须为首次被发现。</w:t>
      </w:r>
    </w:p>
    <w:p>
      <w:pPr>
        <w:spacing w:line="360" w:lineRule="auto"/>
        <w:ind w:firstLine="643" w:firstLineChars="200"/>
        <w:rPr>
          <w:rFonts w:eastAsia="仿宋_GB2312"/>
          <w:sz w:val="32"/>
          <w:szCs w:val="32"/>
        </w:rPr>
      </w:pPr>
      <w:r>
        <w:rPr>
          <w:rFonts w:hint="eastAsia" w:ascii="楷体" w:hAnsi="楷体" w:eastAsia="楷体"/>
          <w:b/>
          <w:bCs/>
          <w:sz w:val="32"/>
          <w:szCs w:val="32"/>
        </w:rPr>
        <w:t>三是严格落实及时纠正的要求。</w:t>
      </w:r>
      <w:r>
        <w:rPr>
          <w:rFonts w:hint="eastAsia" w:eastAsia="仿宋_GB2312"/>
          <w:sz w:val="32"/>
          <w:szCs w:val="32"/>
        </w:rPr>
        <w:t>市场主体发生《免罚清单》规定的轻微违法行为，符合条件后虽可不予处罚，但绝非放松监管要求，市场主体必须严格履行环境整改义务，按要求完成整改。依据《中华人民共和国行政处罚法》《环境行政处罚办法》不予处罚相关规定，《免罚清单》强调了轻微环境违法行为必须及时纠正、整改到位方可免罚。如，第1-3项要求市场主体必须</w:t>
      </w:r>
      <w:r>
        <w:rPr>
          <w:rFonts w:hint="eastAsia" w:ascii="Times New Roman" w:hAnsi="Times New Roman" w:eastAsia="仿宋_GB2312" w:cs="Times New Roman"/>
          <w:sz w:val="32"/>
          <w:szCs w:val="32"/>
        </w:rPr>
        <w:t>及时停止建设并恢复原状方可免罚；第5、8项要求市场主体必须当场整改方可免罚。</w:t>
      </w:r>
      <w:r>
        <w:rPr>
          <w:rFonts w:hint="eastAsia" w:eastAsia="仿宋_GB2312"/>
          <w:sz w:val="32"/>
          <w:szCs w:val="32"/>
        </w:rPr>
        <w:t xml:space="preserve"> </w:t>
      </w:r>
      <w:bookmarkStart w:id="0" w:name="_GoBack"/>
      <w:bookmarkEnd w:id="0"/>
    </w:p>
    <w:p>
      <w:pPr>
        <w:spacing w:line="360" w:lineRule="auto"/>
        <w:ind w:firstLine="643" w:firstLineChars="200"/>
        <w:rPr>
          <w:rFonts w:eastAsia="仿宋_GB2312"/>
          <w:sz w:val="32"/>
          <w:szCs w:val="32"/>
        </w:rPr>
      </w:pPr>
      <w:r>
        <w:rPr>
          <w:rFonts w:hint="eastAsia" w:ascii="楷体" w:hAnsi="楷体" w:eastAsia="楷体"/>
          <w:b/>
          <w:bCs/>
          <w:sz w:val="32"/>
          <w:szCs w:val="32"/>
        </w:rPr>
        <w:t>四是坚持处罚与教育相结合。</w:t>
      </w:r>
      <w:r>
        <w:rPr>
          <w:rFonts w:hint="eastAsia" w:eastAsia="仿宋_GB2312"/>
          <w:sz w:val="32"/>
          <w:szCs w:val="32"/>
        </w:rPr>
        <w:t>对于违法行为，不能片面强调处罚、以罚代管或一罚了之，执法的目的是纠正违法行为，教育行政相对人自觉守法。因此，对于不予处罚的轻微环境违法行为，《免罚清单》明确，执法机关</w:t>
      </w:r>
      <w:r>
        <w:rPr>
          <w:rFonts w:hint="eastAsia" w:ascii="仿宋_GB2312" w:hAnsi="黑体" w:eastAsia="仿宋_GB2312"/>
          <w:sz w:val="30"/>
          <w:szCs w:val="30"/>
        </w:rPr>
        <w:t>应当坚持处罚与教育相结合的原则，通过批评教育、指导约谈等措施，</w:t>
      </w:r>
      <w:r>
        <w:rPr>
          <w:rFonts w:hint="eastAsia" w:eastAsia="仿宋_GB2312"/>
          <w:sz w:val="32"/>
          <w:szCs w:val="32"/>
        </w:rPr>
        <w:t>提升行政相对人守法意识，避免日后此类违法行为再次发生，实现法律效果和社会效果的相统一。</w:t>
      </w:r>
    </w:p>
    <w:p>
      <w:pPr>
        <w:spacing w:line="360" w:lineRule="auto"/>
        <w:ind w:firstLine="643" w:firstLineChars="200"/>
        <w:rPr>
          <w:rFonts w:eastAsia="仿宋_GB2312"/>
          <w:sz w:val="32"/>
          <w:szCs w:val="32"/>
        </w:rPr>
      </w:pPr>
      <w:r>
        <w:rPr>
          <w:rFonts w:hint="eastAsia" w:ascii="楷体" w:hAnsi="楷体" w:eastAsia="楷体"/>
          <w:b/>
          <w:bCs/>
          <w:sz w:val="32"/>
          <w:szCs w:val="32"/>
        </w:rPr>
        <w:t>五是不排除其他不予处罚的情形。</w:t>
      </w:r>
      <w:r>
        <w:rPr>
          <w:rFonts w:hint="eastAsia" w:eastAsia="仿宋_GB2312"/>
          <w:sz w:val="32"/>
          <w:szCs w:val="32"/>
        </w:rPr>
        <w:t>《免罚清单》明确，</w:t>
      </w:r>
      <w:r>
        <w:rPr>
          <w:rFonts w:hint="eastAsia" w:ascii="Times New Roman" w:hAnsi="Times New Roman" w:eastAsia="仿宋_GB2312"/>
          <w:b w:val="0"/>
          <w:bCs w:val="0"/>
          <w:sz w:val="32"/>
          <w:szCs w:val="32"/>
        </w:rPr>
        <w:t>对</w:t>
      </w:r>
      <w:r>
        <w:rPr>
          <w:rFonts w:hint="eastAsia" w:eastAsia="仿宋_GB2312"/>
          <w:sz w:val="32"/>
          <w:szCs w:val="32"/>
        </w:rPr>
        <w:t>其他符合《中华人民共和国行政处罚法》等法律、法规、规章规定的不予行政处罚情形的生态环境领域市场轻微违法违规行为，依法不予行政处罚。</w:t>
      </w:r>
    </w:p>
    <w:p>
      <w:pPr>
        <w:pStyle w:val="12"/>
        <w:spacing w:beforeLines="50" w:line="360" w:lineRule="auto"/>
        <w:ind w:firstLine="640"/>
        <w:outlineLvl w:val="0"/>
        <w:rPr>
          <w:rFonts w:eastAsia="黑体"/>
          <w:sz w:val="32"/>
          <w:szCs w:val="32"/>
        </w:rPr>
      </w:pPr>
      <w:r>
        <w:rPr>
          <w:rFonts w:hint="eastAsia" w:eastAsia="黑体"/>
          <w:sz w:val="32"/>
          <w:szCs w:val="32"/>
        </w:rPr>
        <w:t>三、主要内容</w:t>
      </w:r>
    </w:p>
    <w:p>
      <w:pPr>
        <w:spacing w:line="360" w:lineRule="auto"/>
        <w:ind w:firstLine="640"/>
        <w:rPr>
          <w:rFonts w:eastAsia="仿宋_GB2312"/>
          <w:sz w:val="32"/>
          <w:szCs w:val="32"/>
        </w:rPr>
      </w:pPr>
      <w:r>
        <w:rPr>
          <w:rFonts w:hint="eastAsia" w:eastAsia="仿宋_GB2312"/>
          <w:sz w:val="32"/>
          <w:szCs w:val="32"/>
        </w:rPr>
        <w:t>《免罚清单》设定的轻微违法行为涉及</w:t>
      </w:r>
      <w:r>
        <w:rPr>
          <w:rFonts w:hint="eastAsia" w:eastAsia="仿宋_GB2312"/>
          <w:b/>
          <w:sz w:val="32"/>
          <w:szCs w:val="32"/>
        </w:rPr>
        <w:t>建设项目管理、大气污染防治、固体废物污染防治、噪声污染防治、环境管理制度</w:t>
      </w:r>
      <w:r>
        <w:rPr>
          <w:rFonts w:hint="eastAsia" w:eastAsia="仿宋_GB2312"/>
          <w:sz w:val="32"/>
          <w:szCs w:val="32"/>
        </w:rPr>
        <w:t>5个生态环境领域，共11项。具体为：</w:t>
      </w:r>
    </w:p>
    <w:p>
      <w:pPr>
        <w:spacing w:line="360" w:lineRule="auto"/>
        <w:ind w:firstLine="643" w:firstLineChars="200"/>
        <w:outlineLvl w:val="1"/>
        <w:rPr>
          <w:rFonts w:eastAsia="仿宋_GB2312"/>
          <w:sz w:val="32"/>
          <w:szCs w:val="32"/>
        </w:rPr>
      </w:pPr>
      <w:r>
        <w:rPr>
          <w:rFonts w:hint="eastAsia" w:ascii="楷体" w:hAnsi="楷体" w:eastAsia="楷体"/>
          <w:b/>
          <w:bCs/>
          <w:sz w:val="32"/>
          <w:szCs w:val="32"/>
        </w:rPr>
        <w:t>（一）建设项目管理领域（4项）。</w:t>
      </w:r>
      <w:r>
        <w:rPr>
          <w:rFonts w:hint="eastAsia" w:eastAsia="仿宋_GB2312"/>
          <w:sz w:val="32"/>
          <w:szCs w:val="32"/>
        </w:rPr>
        <w:t>主要对建设项目环境影响报告书（表）未批先建类环境违法行为、环境影响登记表未备案类环境违法行为予以规定。</w:t>
      </w:r>
    </w:p>
    <w:p>
      <w:pPr>
        <w:spacing w:line="360" w:lineRule="auto"/>
        <w:ind w:firstLine="640" w:firstLineChars="200"/>
        <w:rPr>
          <w:rFonts w:eastAsia="仿宋_GB2312"/>
          <w:sz w:val="32"/>
          <w:szCs w:val="32"/>
        </w:rPr>
      </w:pPr>
      <w:r>
        <w:rPr>
          <w:rFonts w:hint="eastAsia" w:eastAsia="仿宋_GB2312"/>
          <w:sz w:val="32"/>
          <w:szCs w:val="32"/>
        </w:rPr>
        <w:t>第1项至第3项，对于“未批先建”的违法行为，如可以实现建设项目恢复原状、修复了对环境造成的危害影响，不予处罚。</w:t>
      </w:r>
    </w:p>
    <w:p>
      <w:pPr>
        <w:spacing w:line="360" w:lineRule="auto"/>
        <w:ind w:firstLine="640" w:firstLineChars="200"/>
        <w:rPr>
          <w:rFonts w:eastAsia="仿宋_GB2312"/>
          <w:sz w:val="32"/>
          <w:szCs w:val="32"/>
        </w:rPr>
      </w:pPr>
      <w:r>
        <w:rPr>
          <w:rFonts w:hint="eastAsia" w:eastAsia="仿宋_GB2312"/>
          <w:sz w:val="32"/>
          <w:szCs w:val="32"/>
        </w:rPr>
        <w:t>第4项，需要办理环境影响登记表的建设项目对环境污染影响较小、无需生态环境部门审批，且数量占比大，将该类违法行为认定为轻微环境违法行为，首次发现不予处罚，有利于落实“放管服”改革优化营商环境的要求，有利于提高生态环境执法效率，集中力量聚焦执法重点领域。</w:t>
      </w:r>
    </w:p>
    <w:p>
      <w:pPr>
        <w:numPr>
          <w:ilvl w:val="255"/>
          <w:numId w:val="0"/>
        </w:numPr>
        <w:spacing w:line="360" w:lineRule="auto"/>
        <w:ind w:firstLine="643" w:firstLineChars="200"/>
        <w:outlineLvl w:val="1"/>
        <w:rPr>
          <w:rFonts w:eastAsia="仿宋_GB2312"/>
          <w:sz w:val="32"/>
          <w:szCs w:val="32"/>
        </w:rPr>
      </w:pPr>
      <w:r>
        <w:rPr>
          <w:rFonts w:hint="eastAsia" w:ascii="楷体" w:hAnsi="楷体" w:eastAsia="楷体" w:cs="楷体"/>
          <w:b/>
          <w:bCs/>
          <w:sz w:val="32"/>
          <w:szCs w:val="32"/>
        </w:rPr>
        <w:t>（二）大气污染防治领域（2项）。</w:t>
      </w:r>
      <w:r>
        <w:rPr>
          <w:rFonts w:hint="eastAsia" w:eastAsia="仿宋_GB2312"/>
          <w:sz w:val="32"/>
          <w:szCs w:val="32"/>
        </w:rPr>
        <w:t>主要对VOCs无组织排放和未粘贴非道机械标签的两项环境违法行为，首次发现的不予处罚。</w:t>
      </w:r>
    </w:p>
    <w:p>
      <w:pPr>
        <w:spacing w:line="360" w:lineRule="auto"/>
        <w:ind w:firstLine="640" w:firstLineChars="200"/>
        <w:rPr>
          <w:rFonts w:eastAsia="仿宋_GB2312"/>
          <w:sz w:val="32"/>
          <w:szCs w:val="32"/>
        </w:rPr>
      </w:pPr>
      <w:r>
        <w:rPr>
          <w:rFonts w:hint="eastAsia" w:eastAsia="仿宋_GB2312"/>
          <w:sz w:val="32"/>
          <w:szCs w:val="32"/>
        </w:rPr>
        <w:t>第5项：涉VOCs企业</w:t>
      </w:r>
      <w:r>
        <w:rPr>
          <w:rFonts w:eastAsia="仿宋_GB2312"/>
          <w:sz w:val="32"/>
          <w:szCs w:val="32"/>
        </w:rPr>
        <w:t>已</w:t>
      </w:r>
      <w:r>
        <w:rPr>
          <w:rFonts w:hint="eastAsia" w:eastAsia="仿宋_GB2312"/>
          <w:sz w:val="32"/>
          <w:szCs w:val="32"/>
        </w:rPr>
        <w:t>做好</w:t>
      </w:r>
      <w:r>
        <w:rPr>
          <w:rFonts w:eastAsia="仿宋_GB2312"/>
          <w:sz w:val="32"/>
          <w:szCs w:val="32"/>
        </w:rPr>
        <w:t>密闭措施</w:t>
      </w:r>
      <w:r>
        <w:rPr>
          <w:rFonts w:hint="eastAsia" w:eastAsia="仿宋_GB2312"/>
          <w:sz w:val="32"/>
          <w:szCs w:val="32"/>
        </w:rPr>
        <w:t>且安装并使用污染防治设施</w:t>
      </w:r>
      <w:r>
        <w:rPr>
          <w:rFonts w:eastAsia="仿宋_GB2312"/>
          <w:sz w:val="32"/>
          <w:szCs w:val="32"/>
        </w:rPr>
        <w:t>，但由于工作人员疏忽或其他</w:t>
      </w:r>
      <w:r>
        <w:rPr>
          <w:rFonts w:hint="eastAsia" w:eastAsia="仿宋_GB2312"/>
          <w:sz w:val="32"/>
          <w:szCs w:val="32"/>
        </w:rPr>
        <w:t>原因</w:t>
      </w:r>
      <w:r>
        <w:rPr>
          <w:rFonts w:eastAsia="仿宋_GB2312"/>
          <w:sz w:val="32"/>
          <w:szCs w:val="32"/>
        </w:rPr>
        <w:t>导致</w:t>
      </w:r>
      <w:r>
        <w:rPr>
          <w:rFonts w:hint="eastAsia" w:eastAsia="仿宋_GB2312"/>
          <w:sz w:val="32"/>
          <w:szCs w:val="32"/>
        </w:rPr>
        <w:t>车间</w:t>
      </w:r>
      <w:r>
        <w:rPr>
          <w:rFonts w:eastAsia="仿宋_GB2312"/>
          <w:sz w:val="32"/>
          <w:szCs w:val="32"/>
        </w:rPr>
        <w:t>门窗</w:t>
      </w:r>
      <w:r>
        <w:rPr>
          <w:rFonts w:hint="eastAsia" w:eastAsia="仿宋_GB2312"/>
          <w:sz w:val="32"/>
          <w:szCs w:val="32"/>
        </w:rPr>
        <w:t>或者设备</w:t>
      </w:r>
      <w:r>
        <w:rPr>
          <w:rFonts w:eastAsia="仿宋_GB2312"/>
          <w:sz w:val="32"/>
          <w:szCs w:val="32"/>
        </w:rPr>
        <w:t>未及时关闭的，</w:t>
      </w:r>
      <w:r>
        <w:rPr>
          <w:rFonts w:hint="eastAsia" w:eastAsia="仿宋_GB2312"/>
          <w:sz w:val="32"/>
          <w:szCs w:val="32"/>
        </w:rPr>
        <w:t>鉴于其对环境危害小，</w:t>
      </w:r>
      <w:r>
        <w:rPr>
          <w:rFonts w:eastAsia="仿宋_GB2312"/>
          <w:sz w:val="32"/>
          <w:szCs w:val="32"/>
        </w:rPr>
        <w:t>经</w:t>
      </w:r>
      <w:r>
        <w:rPr>
          <w:rFonts w:hint="eastAsia" w:eastAsia="仿宋_GB2312"/>
          <w:sz w:val="32"/>
          <w:szCs w:val="32"/>
        </w:rPr>
        <w:t>执法人员现场</w:t>
      </w:r>
      <w:r>
        <w:rPr>
          <w:rFonts w:eastAsia="仿宋_GB2312"/>
          <w:sz w:val="32"/>
          <w:szCs w:val="32"/>
        </w:rPr>
        <w:t>指正后</w:t>
      </w:r>
      <w:r>
        <w:rPr>
          <w:rFonts w:hint="eastAsia" w:eastAsia="仿宋_GB2312"/>
          <w:sz w:val="32"/>
          <w:szCs w:val="32"/>
        </w:rPr>
        <w:t>当场完成整改的，首次发现不予处罚。</w:t>
      </w:r>
    </w:p>
    <w:p>
      <w:pPr>
        <w:spacing w:line="360" w:lineRule="auto"/>
        <w:ind w:firstLine="640" w:firstLineChars="200"/>
        <w:rPr>
          <w:rFonts w:eastAsia="仿宋_GB2312"/>
          <w:sz w:val="32"/>
          <w:szCs w:val="32"/>
        </w:rPr>
      </w:pPr>
      <w:r>
        <w:rPr>
          <w:rFonts w:hint="eastAsia" w:eastAsia="仿宋_GB2312"/>
          <w:sz w:val="32"/>
          <w:szCs w:val="32"/>
        </w:rPr>
        <w:t>第6项：非道路移动机械的所有者已经向所在区生态环境部门领取识别标志，但由于未及时粘贴或者脱落等客观原因导致现场检查时发现未粘贴识别标志，考虑到未造成环境危害后果，经执法人员现场指正、当场完成整改的，首次发现不予处罚。</w:t>
      </w:r>
    </w:p>
    <w:p>
      <w:pPr>
        <w:numPr>
          <w:ilvl w:val="255"/>
          <w:numId w:val="0"/>
        </w:numPr>
        <w:spacing w:line="360" w:lineRule="auto"/>
        <w:ind w:firstLine="643" w:firstLineChars="200"/>
        <w:outlineLvl w:val="1"/>
        <w:rPr>
          <w:rFonts w:eastAsia="仿宋_GB2312"/>
          <w:b/>
          <w:bCs/>
          <w:sz w:val="32"/>
          <w:szCs w:val="32"/>
        </w:rPr>
      </w:pPr>
      <w:r>
        <w:rPr>
          <w:rFonts w:hint="eastAsia" w:ascii="楷体" w:hAnsi="楷体" w:eastAsia="楷体" w:cs="楷体"/>
          <w:b/>
          <w:bCs/>
          <w:sz w:val="32"/>
          <w:szCs w:val="32"/>
        </w:rPr>
        <w:t>（三）固体废物环境污染防治（2项）。</w:t>
      </w:r>
      <w:r>
        <w:rPr>
          <w:rFonts w:hint="eastAsia" w:eastAsia="仿宋_GB2312"/>
          <w:sz w:val="32"/>
          <w:szCs w:val="32"/>
        </w:rPr>
        <w:t>主要针对少量危险废物与非危险废物混合堆放、未设置危险废物标识的两项环境违法行为，首次发现的不予处罚。</w:t>
      </w:r>
    </w:p>
    <w:p>
      <w:pPr>
        <w:spacing w:line="360" w:lineRule="auto"/>
        <w:ind w:firstLine="640" w:firstLineChars="200"/>
        <w:rPr>
          <w:rFonts w:eastAsia="仿宋_GB2312"/>
          <w:sz w:val="32"/>
          <w:szCs w:val="32"/>
        </w:rPr>
      </w:pPr>
      <w:r>
        <w:rPr>
          <w:rFonts w:hint="eastAsia" w:eastAsia="仿宋_GB2312"/>
          <w:sz w:val="32"/>
          <w:szCs w:val="32"/>
        </w:rPr>
        <w:t xml:space="preserve">第7项：一是限定危险废物种类，剧毒化学品、医疗废物、实验废物及易燃易爆危险废物不得适用免罚。二是限定危险废物数量，0.01吨以下方可适用，与生态环境部《关于进一步规范适用环境行政处罚自由裁量权的指导意见》保持一致。三是限定混合堆放的方式，明确为危险废物独立包装、未混入非危险废物包装内，仅为混合堆放的； </w:t>
      </w:r>
    </w:p>
    <w:p>
      <w:pPr>
        <w:spacing w:line="360" w:lineRule="auto"/>
        <w:ind w:firstLine="640" w:firstLineChars="200"/>
        <w:rPr>
          <w:rFonts w:eastAsia="仿宋_GB2312"/>
          <w:sz w:val="32"/>
          <w:szCs w:val="32"/>
        </w:rPr>
      </w:pPr>
      <w:r>
        <w:rPr>
          <w:rFonts w:hint="eastAsia" w:eastAsia="仿宋_GB2312"/>
          <w:sz w:val="32"/>
          <w:szCs w:val="32"/>
        </w:rPr>
        <w:t>第8项：未设置危险废物标识违反危险废物规范化管理，并未造成实质性危害后果。</w:t>
      </w:r>
    </w:p>
    <w:p>
      <w:pPr>
        <w:numPr>
          <w:ilvl w:val="255"/>
          <w:numId w:val="0"/>
        </w:numPr>
        <w:spacing w:line="360" w:lineRule="auto"/>
        <w:ind w:firstLine="643" w:firstLineChars="200"/>
        <w:outlineLvl w:val="1"/>
        <w:rPr>
          <w:rFonts w:eastAsia="仿宋_GB2312"/>
          <w:sz w:val="32"/>
          <w:szCs w:val="32"/>
        </w:rPr>
      </w:pPr>
      <w:r>
        <w:rPr>
          <w:rFonts w:hint="eastAsia" w:ascii="楷体" w:hAnsi="楷体" w:eastAsia="楷体" w:cs="楷体"/>
          <w:b/>
          <w:bCs/>
          <w:sz w:val="32"/>
          <w:szCs w:val="32"/>
        </w:rPr>
        <w:t>（四）环境噪声污染防治（1项）。</w:t>
      </w:r>
      <w:r>
        <w:rPr>
          <w:rFonts w:hint="eastAsia" w:eastAsia="仿宋_GB2312"/>
          <w:sz w:val="32"/>
          <w:szCs w:val="32"/>
        </w:rPr>
        <w:t>主要针对社会生活环境噪声超标排放的环境违法行为，首次发现的不予处罚。</w:t>
      </w:r>
    </w:p>
    <w:p>
      <w:pPr>
        <w:spacing w:line="360" w:lineRule="auto"/>
        <w:ind w:firstLine="640" w:firstLineChars="200"/>
        <w:rPr>
          <w:rFonts w:eastAsia="仿宋_GB2312"/>
          <w:sz w:val="32"/>
          <w:szCs w:val="32"/>
        </w:rPr>
      </w:pPr>
      <w:r>
        <w:rPr>
          <w:rFonts w:hint="eastAsia" w:eastAsia="仿宋_GB2312"/>
          <w:sz w:val="32"/>
          <w:szCs w:val="32"/>
        </w:rPr>
        <w:t>第9项：噪声是以声压级为表征，所以基于噪声监测误差的考量，给予1分贝的超标幅度。</w:t>
      </w:r>
    </w:p>
    <w:p>
      <w:pPr>
        <w:numPr>
          <w:ilvl w:val="255"/>
          <w:numId w:val="0"/>
        </w:numPr>
        <w:spacing w:line="360" w:lineRule="auto"/>
        <w:ind w:firstLine="643" w:firstLineChars="200"/>
        <w:outlineLvl w:val="1"/>
        <w:rPr>
          <w:rFonts w:eastAsia="仿宋_GB2312"/>
          <w:b/>
          <w:bCs/>
          <w:sz w:val="32"/>
          <w:szCs w:val="32"/>
        </w:rPr>
      </w:pPr>
      <w:r>
        <w:rPr>
          <w:rFonts w:hint="eastAsia" w:ascii="楷体" w:hAnsi="楷体" w:eastAsia="楷体" w:cs="楷体"/>
          <w:b/>
          <w:bCs/>
          <w:sz w:val="32"/>
          <w:szCs w:val="32"/>
        </w:rPr>
        <w:t>（五）环境管理（2项）。</w:t>
      </w:r>
      <w:r>
        <w:rPr>
          <w:rFonts w:hint="eastAsia" w:eastAsia="仿宋_GB2312"/>
          <w:sz w:val="32"/>
          <w:szCs w:val="32"/>
        </w:rPr>
        <w:t>主要针对未制定操作规定、未建立台账或台账建立不完善的两项环境违法行为，首次发现的不予处罚。</w:t>
      </w:r>
    </w:p>
    <w:p>
      <w:pPr>
        <w:pStyle w:val="12"/>
        <w:adjustRightInd w:val="0"/>
        <w:spacing w:line="360" w:lineRule="auto"/>
        <w:ind w:firstLine="640" w:firstLineChars="0"/>
        <w:rPr>
          <w:rFonts w:eastAsia="仿宋_GB2312"/>
          <w:sz w:val="32"/>
          <w:szCs w:val="32"/>
        </w:rPr>
      </w:pPr>
      <w:r>
        <w:rPr>
          <w:rFonts w:hint="eastAsia" w:eastAsia="仿宋_GB2312"/>
          <w:sz w:val="32"/>
          <w:szCs w:val="32"/>
        </w:rPr>
        <w:t>第10项、第11项：该两项行为主要违反环境程序性管理要求，未造成环境危害后果，采取首次发现不予处罚，督促整改的方式，有利于企业积极落实环境主体责任。</w:t>
      </w:r>
    </w:p>
    <w:p>
      <w:pPr>
        <w:ind w:firstLine="640" w:firstLineChars="200"/>
        <w:rPr>
          <w:rFonts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7837514"/>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7E22"/>
    <w:rsid w:val="000109D3"/>
    <w:rsid w:val="00022962"/>
    <w:rsid w:val="000340FE"/>
    <w:rsid w:val="00041586"/>
    <w:rsid w:val="000460B2"/>
    <w:rsid w:val="00061C7C"/>
    <w:rsid w:val="00071AC0"/>
    <w:rsid w:val="000720DD"/>
    <w:rsid w:val="00080779"/>
    <w:rsid w:val="00084E56"/>
    <w:rsid w:val="000A073A"/>
    <w:rsid w:val="000C16B4"/>
    <w:rsid w:val="000C1E85"/>
    <w:rsid w:val="000D21FD"/>
    <w:rsid w:val="000E60EF"/>
    <w:rsid w:val="000E6D63"/>
    <w:rsid w:val="000F22B7"/>
    <w:rsid w:val="001005EE"/>
    <w:rsid w:val="001118FE"/>
    <w:rsid w:val="001136D6"/>
    <w:rsid w:val="001232C3"/>
    <w:rsid w:val="00182D88"/>
    <w:rsid w:val="001B4504"/>
    <w:rsid w:val="001D0365"/>
    <w:rsid w:val="00227CB2"/>
    <w:rsid w:val="00263CEC"/>
    <w:rsid w:val="00274534"/>
    <w:rsid w:val="002A398A"/>
    <w:rsid w:val="002B3FE8"/>
    <w:rsid w:val="002C0E2B"/>
    <w:rsid w:val="002C2CD1"/>
    <w:rsid w:val="002C65A5"/>
    <w:rsid w:val="002D533F"/>
    <w:rsid w:val="002F1F8E"/>
    <w:rsid w:val="00301E9A"/>
    <w:rsid w:val="003205C0"/>
    <w:rsid w:val="00333300"/>
    <w:rsid w:val="00350456"/>
    <w:rsid w:val="00350B79"/>
    <w:rsid w:val="0035777B"/>
    <w:rsid w:val="00376FCB"/>
    <w:rsid w:val="00387163"/>
    <w:rsid w:val="00392E68"/>
    <w:rsid w:val="003B7C48"/>
    <w:rsid w:val="003E0987"/>
    <w:rsid w:val="0042404E"/>
    <w:rsid w:val="00465A6B"/>
    <w:rsid w:val="00472212"/>
    <w:rsid w:val="004A0773"/>
    <w:rsid w:val="004B0EA1"/>
    <w:rsid w:val="004D01D8"/>
    <w:rsid w:val="004F0020"/>
    <w:rsid w:val="004F542B"/>
    <w:rsid w:val="00531A74"/>
    <w:rsid w:val="005433C3"/>
    <w:rsid w:val="00562806"/>
    <w:rsid w:val="00572CDA"/>
    <w:rsid w:val="00582294"/>
    <w:rsid w:val="005937BA"/>
    <w:rsid w:val="005A42BE"/>
    <w:rsid w:val="005A779E"/>
    <w:rsid w:val="005B7C07"/>
    <w:rsid w:val="005B7CB3"/>
    <w:rsid w:val="005E37B8"/>
    <w:rsid w:val="006063E1"/>
    <w:rsid w:val="00625CCA"/>
    <w:rsid w:val="00696AEF"/>
    <w:rsid w:val="006A54C0"/>
    <w:rsid w:val="006A78EA"/>
    <w:rsid w:val="006B0960"/>
    <w:rsid w:val="006F5A4F"/>
    <w:rsid w:val="0072759E"/>
    <w:rsid w:val="00774162"/>
    <w:rsid w:val="0078099E"/>
    <w:rsid w:val="007B3B5B"/>
    <w:rsid w:val="007B7E22"/>
    <w:rsid w:val="007E2F4E"/>
    <w:rsid w:val="007F671E"/>
    <w:rsid w:val="00801D4E"/>
    <w:rsid w:val="008171E5"/>
    <w:rsid w:val="00835D82"/>
    <w:rsid w:val="008443D2"/>
    <w:rsid w:val="0085291B"/>
    <w:rsid w:val="008529D7"/>
    <w:rsid w:val="00855295"/>
    <w:rsid w:val="00855EDA"/>
    <w:rsid w:val="0086131F"/>
    <w:rsid w:val="00891C6C"/>
    <w:rsid w:val="008A1B2A"/>
    <w:rsid w:val="008C657D"/>
    <w:rsid w:val="008D2E20"/>
    <w:rsid w:val="008D58B3"/>
    <w:rsid w:val="008F632E"/>
    <w:rsid w:val="00902D7B"/>
    <w:rsid w:val="00917E95"/>
    <w:rsid w:val="00921256"/>
    <w:rsid w:val="00975DF5"/>
    <w:rsid w:val="00993845"/>
    <w:rsid w:val="00994BBB"/>
    <w:rsid w:val="00996A4E"/>
    <w:rsid w:val="0099796B"/>
    <w:rsid w:val="009B1E10"/>
    <w:rsid w:val="009D030B"/>
    <w:rsid w:val="009F5319"/>
    <w:rsid w:val="009F538C"/>
    <w:rsid w:val="00A02091"/>
    <w:rsid w:val="00A0403A"/>
    <w:rsid w:val="00A52A8F"/>
    <w:rsid w:val="00A67402"/>
    <w:rsid w:val="00A71ED6"/>
    <w:rsid w:val="00A87EED"/>
    <w:rsid w:val="00AB13F8"/>
    <w:rsid w:val="00AC5CF7"/>
    <w:rsid w:val="00AF4D26"/>
    <w:rsid w:val="00B045A5"/>
    <w:rsid w:val="00B11D10"/>
    <w:rsid w:val="00B17FDD"/>
    <w:rsid w:val="00B21AFA"/>
    <w:rsid w:val="00B2583E"/>
    <w:rsid w:val="00B64426"/>
    <w:rsid w:val="00B703DC"/>
    <w:rsid w:val="00B85BA1"/>
    <w:rsid w:val="00B9200B"/>
    <w:rsid w:val="00BA0D9C"/>
    <w:rsid w:val="00BC7D6B"/>
    <w:rsid w:val="00BD744C"/>
    <w:rsid w:val="00BE03F8"/>
    <w:rsid w:val="00BF6062"/>
    <w:rsid w:val="00C0118D"/>
    <w:rsid w:val="00C02726"/>
    <w:rsid w:val="00C0621A"/>
    <w:rsid w:val="00C345E4"/>
    <w:rsid w:val="00C36E7F"/>
    <w:rsid w:val="00C562F8"/>
    <w:rsid w:val="00C56B79"/>
    <w:rsid w:val="00C62A74"/>
    <w:rsid w:val="00C65FD6"/>
    <w:rsid w:val="00CA5017"/>
    <w:rsid w:val="00CA52A5"/>
    <w:rsid w:val="00CD1901"/>
    <w:rsid w:val="00D013F3"/>
    <w:rsid w:val="00D46A20"/>
    <w:rsid w:val="00DD3CBF"/>
    <w:rsid w:val="00DD3DBB"/>
    <w:rsid w:val="00E037DF"/>
    <w:rsid w:val="00E16FD1"/>
    <w:rsid w:val="00E75149"/>
    <w:rsid w:val="00ED4A7B"/>
    <w:rsid w:val="00EF229E"/>
    <w:rsid w:val="00EF3023"/>
    <w:rsid w:val="00F15EC4"/>
    <w:rsid w:val="00F179A1"/>
    <w:rsid w:val="00F7223B"/>
    <w:rsid w:val="00F85E74"/>
    <w:rsid w:val="00FD1B60"/>
    <w:rsid w:val="00FD369F"/>
    <w:rsid w:val="00FE4F92"/>
    <w:rsid w:val="01A707B2"/>
    <w:rsid w:val="01E64A12"/>
    <w:rsid w:val="02122A34"/>
    <w:rsid w:val="022A32F5"/>
    <w:rsid w:val="026D6F64"/>
    <w:rsid w:val="02961449"/>
    <w:rsid w:val="02DF7143"/>
    <w:rsid w:val="02FF6275"/>
    <w:rsid w:val="03C351FE"/>
    <w:rsid w:val="048C1BA4"/>
    <w:rsid w:val="05552860"/>
    <w:rsid w:val="061F4C45"/>
    <w:rsid w:val="069C794E"/>
    <w:rsid w:val="06B32EDC"/>
    <w:rsid w:val="07143235"/>
    <w:rsid w:val="07786F63"/>
    <w:rsid w:val="0820760A"/>
    <w:rsid w:val="08210E51"/>
    <w:rsid w:val="082F2322"/>
    <w:rsid w:val="083B7FE1"/>
    <w:rsid w:val="0859279A"/>
    <w:rsid w:val="088304B8"/>
    <w:rsid w:val="08B02E8B"/>
    <w:rsid w:val="0A8375CB"/>
    <w:rsid w:val="0AA24840"/>
    <w:rsid w:val="0ADF1FD3"/>
    <w:rsid w:val="0B6A1119"/>
    <w:rsid w:val="0C95795E"/>
    <w:rsid w:val="0CEA5DF8"/>
    <w:rsid w:val="0D7F48DE"/>
    <w:rsid w:val="0DC94D0E"/>
    <w:rsid w:val="0DF04521"/>
    <w:rsid w:val="0E187A4B"/>
    <w:rsid w:val="0E5A4886"/>
    <w:rsid w:val="0F4D044B"/>
    <w:rsid w:val="0FE24533"/>
    <w:rsid w:val="0FF809E7"/>
    <w:rsid w:val="1063681C"/>
    <w:rsid w:val="109D220E"/>
    <w:rsid w:val="110A039B"/>
    <w:rsid w:val="116E46C8"/>
    <w:rsid w:val="11862277"/>
    <w:rsid w:val="11E9648E"/>
    <w:rsid w:val="126C0694"/>
    <w:rsid w:val="138D521E"/>
    <w:rsid w:val="14517364"/>
    <w:rsid w:val="14ED7506"/>
    <w:rsid w:val="15010171"/>
    <w:rsid w:val="1567611B"/>
    <w:rsid w:val="165F5F56"/>
    <w:rsid w:val="16A07C4F"/>
    <w:rsid w:val="16AE26B4"/>
    <w:rsid w:val="16B1344B"/>
    <w:rsid w:val="173B0E6C"/>
    <w:rsid w:val="17566ECF"/>
    <w:rsid w:val="17BC4121"/>
    <w:rsid w:val="17D15A79"/>
    <w:rsid w:val="17D63DD3"/>
    <w:rsid w:val="180F5BA0"/>
    <w:rsid w:val="18452F9E"/>
    <w:rsid w:val="1857352B"/>
    <w:rsid w:val="186A41F8"/>
    <w:rsid w:val="189735D6"/>
    <w:rsid w:val="18E50EC4"/>
    <w:rsid w:val="192A4764"/>
    <w:rsid w:val="19962D49"/>
    <w:rsid w:val="19C8523B"/>
    <w:rsid w:val="19D17415"/>
    <w:rsid w:val="1A1E70A6"/>
    <w:rsid w:val="1A3200B1"/>
    <w:rsid w:val="1A64215B"/>
    <w:rsid w:val="1A992B82"/>
    <w:rsid w:val="1BC32DD5"/>
    <w:rsid w:val="1BD82D9A"/>
    <w:rsid w:val="1C5C56B1"/>
    <w:rsid w:val="1C5F766C"/>
    <w:rsid w:val="1CF87AFD"/>
    <w:rsid w:val="1E0F56D1"/>
    <w:rsid w:val="1E122DDA"/>
    <w:rsid w:val="1E213F9F"/>
    <w:rsid w:val="1F326477"/>
    <w:rsid w:val="1F6200B2"/>
    <w:rsid w:val="1F7F2FEF"/>
    <w:rsid w:val="1F920557"/>
    <w:rsid w:val="1FCE5F23"/>
    <w:rsid w:val="20115538"/>
    <w:rsid w:val="2032626E"/>
    <w:rsid w:val="20AD61C0"/>
    <w:rsid w:val="20F55ABC"/>
    <w:rsid w:val="21B55ACC"/>
    <w:rsid w:val="21C805EA"/>
    <w:rsid w:val="222D4498"/>
    <w:rsid w:val="22A14DB9"/>
    <w:rsid w:val="230A5C95"/>
    <w:rsid w:val="23672323"/>
    <w:rsid w:val="238354F2"/>
    <w:rsid w:val="23F322E7"/>
    <w:rsid w:val="242360BF"/>
    <w:rsid w:val="247827BD"/>
    <w:rsid w:val="254D6F1D"/>
    <w:rsid w:val="25E865AE"/>
    <w:rsid w:val="262329CE"/>
    <w:rsid w:val="26480313"/>
    <w:rsid w:val="265F4324"/>
    <w:rsid w:val="26B14F02"/>
    <w:rsid w:val="280A029C"/>
    <w:rsid w:val="28495C42"/>
    <w:rsid w:val="28650829"/>
    <w:rsid w:val="288A21EF"/>
    <w:rsid w:val="28B230CB"/>
    <w:rsid w:val="2933128F"/>
    <w:rsid w:val="294C354A"/>
    <w:rsid w:val="29BF34A7"/>
    <w:rsid w:val="29C53E11"/>
    <w:rsid w:val="2A715D20"/>
    <w:rsid w:val="2A915185"/>
    <w:rsid w:val="2AD73859"/>
    <w:rsid w:val="2AFA7A5A"/>
    <w:rsid w:val="2B405722"/>
    <w:rsid w:val="2B7A5CDC"/>
    <w:rsid w:val="2B8921DD"/>
    <w:rsid w:val="2B95235F"/>
    <w:rsid w:val="2C241A9C"/>
    <w:rsid w:val="2CC91C15"/>
    <w:rsid w:val="2CE95B44"/>
    <w:rsid w:val="2D03053E"/>
    <w:rsid w:val="2D0C190B"/>
    <w:rsid w:val="2D1C368C"/>
    <w:rsid w:val="2D235911"/>
    <w:rsid w:val="2D7339E4"/>
    <w:rsid w:val="2D7A603B"/>
    <w:rsid w:val="2DA71B5C"/>
    <w:rsid w:val="2DD96C84"/>
    <w:rsid w:val="2E210CFD"/>
    <w:rsid w:val="2E8A75DA"/>
    <w:rsid w:val="2F066D03"/>
    <w:rsid w:val="2F4A5F14"/>
    <w:rsid w:val="2F564F80"/>
    <w:rsid w:val="301E46FE"/>
    <w:rsid w:val="31215F0D"/>
    <w:rsid w:val="31AE42B0"/>
    <w:rsid w:val="327C72C2"/>
    <w:rsid w:val="33BF17EE"/>
    <w:rsid w:val="33DD08DA"/>
    <w:rsid w:val="33EE4F3B"/>
    <w:rsid w:val="3425660C"/>
    <w:rsid w:val="343D3364"/>
    <w:rsid w:val="34E077DA"/>
    <w:rsid w:val="35331D44"/>
    <w:rsid w:val="35340FB4"/>
    <w:rsid w:val="354B20FA"/>
    <w:rsid w:val="35774942"/>
    <w:rsid w:val="35D8273F"/>
    <w:rsid w:val="35F35180"/>
    <w:rsid w:val="36090D45"/>
    <w:rsid w:val="36423DE8"/>
    <w:rsid w:val="3687506B"/>
    <w:rsid w:val="371035B6"/>
    <w:rsid w:val="374410DA"/>
    <w:rsid w:val="37A712FB"/>
    <w:rsid w:val="37BE67C8"/>
    <w:rsid w:val="381C6144"/>
    <w:rsid w:val="38496E07"/>
    <w:rsid w:val="3877756F"/>
    <w:rsid w:val="387F12CB"/>
    <w:rsid w:val="39326C53"/>
    <w:rsid w:val="39B7625F"/>
    <w:rsid w:val="3A095D52"/>
    <w:rsid w:val="3A282AF7"/>
    <w:rsid w:val="3A7721E1"/>
    <w:rsid w:val="3AF1571D"/>
    <w:rsid w:val="3B28709B"/>
    <w:rsid w:val="3B922DF3"/>
    <w:rsid w:val="3C7B7016"/>
    <w:rsid w:val="3C817BDA"/>
    <w:rsid w:val="3D235B0A"/>
    <w:rsid w:val="3D3E6F49"/>
    <w:rsid w:val="3D442B5A"/>
    <w:rsid w:val="3E32558D"/>
    <w:rsid w:val="3E3E2943"/>
    <w:rsid w:val="3E74256F"/>
    <w:rsid w:val="3E7D66C0"/>
    <w:rsid w:val="3EAB5352"/>
    <w:rsid w:val="3F0B68F8"/>
    <w:rsid w:val="3F293840"/>
    <w:rsid w:val="3F481F80"/>
    <w:rsid w:val="3F852B38"/>
    <w:rsid w:val="3F902CA8"/>
    <w:rsid w:val="3FDC13F2"/>
    <w:rsid w:val="3FFA20AD"/>
    <w:rsid w:val="4054336E"/>
    <w:rsid w:val="409D5A96"/>
    <w:rsid w:val="40EE65DE"/>
    <w:rsid w:val="41F42F28"/>
    <w:rsid w:val="41FE09D8"/>
    <w:rsid w:val="430B215E"/>
    <w:rsid w:val="431E0E51"/>
    <w:rsid w:val="433F72CB"/>
    <w:rsid w:val="43640713"/>
    <w:rsid w:val="437D0339"/>
    <w:rsid w:val="4395795C"/>
    <w:rsid w:val="43B445E8"/>
    <w:rsid w:val="4415318A"/>
    <w:rsid w:val="455A5CEF"/>
    <w:rsid w:val="45C917DB"/>
    <w:rsid w:val="468E20BC"/>
    <w:rsid w:val="46C27AB0"/>
    <w:rsid w:val="46D54764"/>
    <w:rsid w:val="476B1F83"/>
    <w:rsid w:val="478266B5"/>
    <w:rsid w:val="47AF1D59"/>
    <w:rsid w:val="47B43513"/>
    <w:rsid w:val="47E46A00"/>
    <w:rsid w:val="48DC3B09"/>
    <w:rsid w:val="48E0562C"/>
    <w:rsid w:val="48FD2BE2"/>
    <w:rsid w:val="491A590F"/>
    <w:rsid w:val="493672CB"/>
    <w:rsid w:val="49650E8E"/>
    <w:rsid w:val="49911BB1"/>
    <w:rsid w:val="499D5D71"/>
    <w:rsid w:val="49C647E7"/>
    <w:rsid w:val="49E544AB"/>
    <w:rsid w:val="4A816238"/>
    <w:rsid w:val="4AC738CA"/>
    <w:rsid w:val="4AC767E0"/>
    <w:rsid w:val="4AD15B8C"/>
    <w:rsid w:val="4B142FFA"/>
    <w:rsid w:val="4BA36D2E"/>
    <w:rsid w:val="4BF03F66"/>
    <w:rsid w:val="4BF40668"/>
    <w:rsid w:val="4BFE698F"/>
    <w:rsid w:val="4C7D3EF3"/>
    <w:rsid w:val="4DF5735D"/>
    <w:rsid w:val="4E3C524E"/>
    <w:rsid w:val="4E6442C8"/>
    <w:rsid w:val="4E84726D"/>
    <w:rsid w:val="4EFA2AAE"/>
    <w:rsid w:val="50444A9A"/>
    <w:rsid w:val="50460150"/>
    <w:rsid w:val="50905888"/>
    <w:rsid w:val="50BF16A4"/>
    <w:rsid w:val="50FA31BF"/>
    <w:rsid w:val="510B5103"/>
    <w:rsid w:val="5182094D"/>
    <w:rsid w:val="519E21FE"/>
    <w:rsid w:val="51D869EA"/>
    <w:rsid w:val="52423773"/>
    <w:rsid w:val="52BB0A69"/>
    <w:rsid w:val="52CE01B7"/>
    <w:rsid w:val="538F44AA"/>
    <w:rsid w:val="53915871"/>
    <w:rsid w:val="53BE6AB6"/>
    <w:rsid w:val="542A1FB2"/>
    <w:rsid w:val="54463AF6"/>
    <w:rsid w:val="544D3B07"/>
    <w:rsid w:val="54B779A8"/>
    <w:rsid w:val="551A7265"/>
    <w:rsid w:val="552E0DFE"/>
    <w:rsid w:val="559013EC"/>
    <w:rsid w:val="55AB2CFD"/>
    <w:rsid w:val="55EA5A75"/>
    <w:rsid w:val="560C32AF"/>
    <w:rsid w:val="56EA6DC1"/>
    <w:rsid w:val="575B3C5D"/>
    <w:rsid w:val="57B15428"/>
    <w:rsid w:val="5802196F"/>
    <w:rsid w:val="581C57E7"/>
    <w:rsid w:val="58604AB6"/>
    <w:rsid w:val="58A86EF8"/>
    <w:rsid w:val="58CE3EF9"/>
    <w:rsid w:val="58D50180"/>
    <w:rsid w:val="59BD4A72"/>
    <w:rsid w:val="59F442B3"/>
    <w:rsid w:val="5A076BA8"/>
    <w:rsid w:val="5A113DF6"/>
    <w:rsid w:val="5A5E0A8E"/>
    <w:rsid w:val="5A837550"/>
    <w:rsid w:val="5ABD376E"/>
    <w:rsid w:val="5AE51FFC"/>
    <w:rsid w:val="5B1D13D5"/>
    <w:rsid w:val="5B235F30"/>
    <w:rsid w:val="5BFD02A5"/>
    <w:rsid w:val="5D416DF0"/>
    <w:rsid w:val="5E187361"/>
    <w:rsid w:val="5E2D5BA3"/>
    <w:rsid w:val="5E3F00A6"/>
    <w:rsid w:val="5ECC6C5C"/>
    <w:rsid w:val="5F240EEF"/>
    <w:rsid w:val="5F9F5D6C"/>
    <w:rsid w:val="6032671F"/>
    <w:rsid w:val="60D54E71"/>
    <w:rsid w:val="618A1495"/>
    <w:rsid w:val="61A61864"/>
    <w:rsid w:val="61F946C0"/>
    <w:rsid w:val="6229370A"/>
    <w:rsid w:val="623070B6"/>
    <w:rsid w:val="62742E4E"/>
    <w:rsid w:val="62E712D7"/>
    <w:rsid w:val="632A0DF7"/>
    <w:rsid w:val="63C740D2"/>
    <w:rsid w:val="63DD1812"/>
    <w:rsid w:val="63F903A6"/>
    <w:rsid w:val="642C73E9"/>
    <w:rsid w:val="647C3F76"/>
    <w:rsid w:val="64927C75"/>
    <w:rsid w:val="649E2EAC"/>
    <w:rsid w:val="64A44941"/>
    <w:rsid w:val="64A51C90"/>
    <w:rsid w:val="64AE7B9D"/>
    <w:rsid w:val="64F96ED6"/>
    <w:rsid w:val="652F4FFB"/>
    <w:rsid w:val="65E131D2"/>
    <w:rsid w:val="6624128C"/>
    <w:rsid w:val="664507DB"/>
    <w:rsid w:val="66D05927"/>
    <w:rsid w:val="6735587D"/>
    <w:rsid w:val="673A171B"/>
    <w:rsid w:val="67DF72AA"/>
    <w:rsid w:val="67FB0184"/>
    <w:rsid w:val="686A4CA1"/>
    <w:rsid w:val="688F43DD"/>
    <w:rsid w:val="68983B04"/>
    <w:rsid w:val="6950774F"/>
    <w:rsid w:val="69712733"/>
    <w:rsid w:val="69AF6A43"/>
    <w:rsid w:val="6A572EDB"/>
    <w:rsid w:val="6A6E2E41"/>
    <w:rsid w:val="6B0E5927"/>
    <w:rsid w:val="6B995821"/>
    <w:rsid w:val="6BAB5003"/>
    <w:rsid w:val="6C2845BD"/>
    <w:rsid w:val="6C340511"/>
    <w:rsid w:val="6C3A7767"/>
    <w:rsid w:val="6C494F45"/>
    <w:rsid w:val="6CDE4504"/>
    <w:rsid w:val="6E646F8A"/>
    <w:rsid w:val="6E8D555E"/>
    <w:rsid w:val="6E8F718A"/>
    <w:rsid w:val="6EB01E13"/>
    <w:rsid w:val="6F4C5C2B"/>
    <w:rsid w:val="6FB76554"/>
    <w:rsid w:val="703B1BCF"/>
    <w:rsid w:val="70B10B2F"/>
    <w:rsid w:val="70BE79B3"/>
    <w:rsid w:val="71D50FC9"/>
    <w:rsid w:val="72637585"/>
    <w:rsid w:val="727B049D"/>
    <w:rsid w:val="732801D4"/>
    <w:rsid w:val="73A0497B"/>
    <w:rsid w:val="73A86D66"/>
    <w:rsid w:val="73DD11E2"/>
    <w:rsid w:val="73EA4446"/>
    <w:rsid w:val="740820EE"/>
    <w:rsid w:val="743C39ED"/>
    <w:rsid w:val="74566414"/>
    <w:rsid w:val="746E53E1"/>
    <w:rsid w:val="75976175"/>
    <w:rsid w:val="75EF3D8D"/>
    <w:rsid w:val="761830A0"/>
    <w:rsid w:val="762B42F9"/>
    <w:rsid w:val="763D7EEA"/>
    <w:rsid w:val="76965348"/>
    <w:rsid w:val="76C8462A"/>
    <w:rsid w:val="77115CB9"/>
    <w:rsid w:val="77A355EB"/>
    <w:rsid w:val="77C35A7B"/>
    <w:rsid w:val="77EA55BC"/>
    <w:rsid w:val="780C6B45"/>
    <w:rsid w:val="78182260"/>
    <w:rsid w:val="78804B70"/>
    <w:rsid w:val="78981591"/>
    <w:rsid w:val="78CC5B41"/>
    <w:rsid w:val="791B5830"/>
    <w:rsid w:val="797300BC"/>
    <w:rsid w:val="7A0847D4"/>
    <w:rsid w:val="7A1A0C35"/>
    <w:rsid w:val="7AA945CA"/>
    <w:rsid w:val="7B495F92"/>
    <w:rsid w:val="7C612D5F"/>
    <w:rsid w:val="7CAD1D29"/>
    <w:rsid w:val="7D000868"/>
    <w:rsid w:val="7D0B46C6"/>
    <w:rsid w:val="7D8F62E3"/>
    <w:rsid w:val="7DA929C7"/>
    <w:rsid w:val="7DFF57B6"/>
    <w:rsid w:val="7E610435"/>
    <w:rsid w:val="7F087AA7"/>
    <w:rsid w:val="7F7411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jc w:val="left"/>
    </w:pPr>
    <w:rPr>
      <w:kern w:val="0"/>
      <w:szCs w:val="21"/>
    </w:rPr>
  </w:style>
  <w:style w:type="character" w:styleId="8">
    <w:name w:val="FollowedHyperlink"/>
    <w:basedOn w:val="7"/>
    <w:semiHidden/>
    <w:unhideWhenUsed/>
    <w:qFormat/>
    <w:uiPriority w:val="99"/>
    <w:rPr>
      <w:color w:val="000000"/>
      <w:u w:val="none"/>
    </w:rPr>
  </w:style>
  <w:style w:type="character" w:styleId="9">
    <w:name w:val="Hyperlink"/>
    <w:basedOn w:val="7"/>
    <w:semiHidden/>
    <w:unhideWhenUsed/>
    <w:qFormat/>
    <w:uiPriority w:val="99"/>
    <w:rPr>
      <w:color w:val="000000"/>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radio-btn"/>
    <w:basedOn w:val="7"/>
    <w:qFormat/>
    <w:uiPriority w:val="0"/>
  </w:style>
  <w:style w:type="character" w:customStyle="1" w:styleId="14">
    <w:name w:val="lable"/>
    <w:basedOn w:val="7"/>
    <w:qFormat/>
    <w:uiPriority w:val="0"/>
    <w:rPr>
      <w:sz w:val="24"/>
      <w:szCs w:val="24"/>
    </w:rPr>
  </w:style>
  <w:style w:type="character" w:customStyle="1" w:styleId="15">
    <w:name w:val="hover34"/>
    <w:basedOn w:val="7"/>
    <w:qFormat/>
    <w:uiPriority w:val="0"/>
  </w:style>
  <w:style w:type="character" w:customStyle="1" w:styleId="16">
    <w:name w:val="cur"/>
    <w:basedOn w:val="7"/>
    <w:qFormat/>
    <w:uiPriority w:val="0"/>
    <w:rPr>
      <w:color w:val="FFFFFF"/>
      <w:shd w:val="clear" w:color="auto" w:fill="0C79CC"/>
    </w:rPr>
  </w:style>
  <w:style w:type="character" w:customStyle="1" w:styleId="17">
    <w:name w:val="cur1"/>
    <w:basedOn w:val="7"/>
    <w:qFormat/>
    <w:uiPriority w:val="0"/>
    <w:rPr>
      <w:color w:val="FFFFFF"/>
      <w:shd w:val="clear" w:color="auto" w:fill="0C79CC"/>
    </w:rPr>
  </w:style>
  <w:style w:type="character" w:customStyle="1" w:styleId="18">
    <w:name w:val="hover"/>
    <w:basedOn w:val="7"/>
    <w:qFormat/>
    <w:uiPriority w:val="0"/>
  </w:style>
  <w:style w:type="character" w:customStyle="1" w:styleId="19">
    <w:name w:val="批注框文本 Char"/>
    <w:basedOn w:val="7"/>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BA8C7-C2FD-42C3-95BA-31766805875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648</Words>
  <Characters>3698</Characters>
  <Lines>30</Lines>
  <Paragraphs>8</Paragraphs>
  <TotalTime>107</TotalTime>
  <ScaleCrop>false</ScaleCrop>
  <LinksUpToDate>false</LinksUpToDate>
  <CharactersWithSpaces>4338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2020-03-21T04:21:00Z</dcterms:created>
  <dc:creator>ZFJ-25</dc:creator>
  <cp:lastModifiedBy>D酱</cp:lastModifiedBy>
  <dcterms:modified xsi:type="dcterms:W3CDTF">2020-04-03T08:38:32Z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