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13302" w14:textId="77777777" w:rsidR="008C5A39" w:rsidRDefault="00116737">
      <w:pPr>
        <w:rPr>
          <w:rFonts w:ascii="华文中宋" w:eastAsia="华文中宋" w:hAnsi="华文中宋"/>
          <w:b/>
          <w:spacing w:val="-10"/>
          <w:sz w:val="44"/>
          <w:szCs w:val="44"/>
        </w:rPr>
      </w:pPr>
      <w:r>
        <w:rPr>
          <w:rFonts w:ascii="华文中宋" w:eastAsia="华文中宋" w:hAnsi="华文中宋" w:hint="eastAsia"/>
          <w:b/>
          <w:spacing w:val="-10"/>
          <w:sz w:val="44"/>
          <w:szCs w:val="44"/>
        </w:rPr>
        <w:t>《上海市核技术利用分类分级监督管理办法》</w:t>
      </w:r>
    </w:p>
    <w:p w14:paraId="2BC62670" w14:textId="77777777" w:rsidR="008C5A39" w:rsidRDefault="00116737">
      <w:pPr>
        <w:jc w:val="center"/>
        <w:rPr>
          <w:rFonts w:ascii="华文中宋" w:eastAsia="华文中宋" w:hAnsi="华文中宋"/>
          <w:b/>
          <w:spacing w:val="-10"/>
          <w:sz w:val="44"/>
          <w:szCs w:val="44"/>
        </w:rPr>
      </w:pPr>
      <w:r>
        <w:rPr>
          <w:rFonts w:ascii="华文中宋" w:eastAsia="华文中宋" w:hAnsi="华文中宋" w:hint="eastAsia"/>
          <w:b/>
          <w:spacing w:val="-10"/>
          <w:sz w:val="44"/>
          <w:szCs w:val="44"/>
        </w:rPr>
        <w:t>编制说明</w:t>
      </w:r>
    </w:p>
    <w:p w14:paraId="6B74C869" w14:textId="77777777" w:rsidR="008C5A39" w:rsidRDefault="00116737" w:rsidP="00EA2938">
      <w:pPr>
        <w:spacing w:line="600" w:lineRule="exact"/>
        <w:ind w:firstLineChars="200" w:firstLine="640"/>
        <w:rPr>
          <w:rFonts w:ascii="仿宋_GB2312" w:eastAsia="仿宋_GB2312"/>
          <w:sz w:val="32"/>
          <w:szCs w:val="32"/>
        </w:rPr>
      </w:pPr>
      <w:r>
        <w:rPr>
          <w:rFonts w:ascii="仿宋_GB2312" w:eastAsia="仿宋_GB2312" w:hint="eastAsia"/>
          <w:sz w:val="32"/>
          <w:szCs w:val="32"/>
        </w:rPr>
        <w:t>为强化对全市核技术利用单位的精准化、差异化管理，推进风险指引型核技术利用分类分级监管模式，提升全市核技术利用单位监管效能，有效防控辐射安全风险，进一步夯实企业辐射安全主体责任，制定本办法。</w:t>
      </w:r>
    </w:p>
    <w:p w14:paraId="44EEEE68" w14:textId="77777777" w:rsidR="008C5A39" w:rsidRPr="00EA2938" w:rsidRDefault="00116737" w:rsidP="00EA2938">
      <w:pPr>
        <w:spacing w:line="600" w:lineRule="exact"/>
        <w:ind w:firstLineChars="200" w:firstLine="640"/>
        <w:rPr>
          <w:rFonts w:ascii="黑体" w:eastAsia="黑体" w:hAnsi="黑体"/>
          <w:sz w:val="32"/>
          <w:szCs w:val="32"/>
        </w:rPr>
      </w:pPr>
      <w:r w:rsidRPr="00EA2938">
        <w:rPr>
          <w:rFonts w:ascii="黑体" w:eastAsia="黑体" w:hAnsi="黑体" w:hint="eastAsia"/>
          <w:sz w:val="32"/>
          <w:szCs w:val="32"/>
        </w:rPr>
        <w:t>一、编制依据</w:t>
      </w:r>
    </w:p>
    <w:p w14:paraId="637F5BFC" w14:textId="77777777" w:rsidR="008C5A39" w:rsidRDefault="00116737" w:rsidP="00EA2938">
      <w:pPr>
        <w:spacing w:line="600" w:lineRule="exact"/>
        <w:ind w:firstLineChars="200" w:firstLine="640"/>
        <w:rPr>
          <w:rFonts w:ascii="仿宋_GB2312" w:eastAsia="仿宋_GB2312"/>
          <w:sz w:val="32"/>
          <w:szCs w:val="32"/>
        </w:rPr>
      </w:pPr>
      <w:r>
        <w:rPr>
          <w:rFonts w:ascii="仿宋_GB2312" w:eastAsia="仿宋_GB2312" w:hint="eastAsia"/>
          <w:sz w:val="32"/>
          <w:szCs w:val="32"/>
        </w:rPr>
        <w:t>本办法主要依据《中华人民共和国放射性污染防治法》《放射性同位素与射线装置安全和防护条例》《上海市环境保护条例》等法律法规，紧密结合上海市核技术利用监管实际情况，充分考虑本市在辐射安全管理方面的既有经验与发展需求，确保办法的合法性、合规性与可操作性。</w:t>
      </w:r>
    </w:p>
    <w:p w14:paraId="201C9063" w14:textId="77777777" w:rsidR="008C5A39" w:rsidRPr="00EA2938" w:rsidRDefault="00116737" w:rsidP="00EA2938">
      <w:pPr>
        <w:spacing w:line="600" w:lineRule="exact"/>
        <w:ind w:firstLineChars="200" w:firstLine="640"/>
        <w:rPr>
          <w:rFonts w:ascii="黑体" w:eastAsia="黑体" w:hAnsi="黑体"/>
          <w:sz w:val="32"/>
          <w:szCs w:val="32"/>
        </w:rPr>
      </w:pPr>
      <w:r w:rsidRPr="00EA2938">
        <w:rPr>
          <w:rFonts w:ascii="黑体" w:eastAsia="黑体" w:hAnsi="黑体" w:hint="eastAsia"/>
          <w:sz w:val="32"/>
          <w:szCs w:val="32"/>
        </w:rPr>
        <w:t>二、编制目的</w:t>
      </w:r>
    </w:p>
    <w:p w14:paraId="1988735D" w14:textId="77777777" w:rsidR="008C5A39" w:rsidRPr="00EA2938" w:rsidRDefault="00116737" w:rsidP="00EA2938">
      <w:pPr>
        <w:spacing w:line="600" w:lineRule="exact"/>
        <w:ind w:firstLineChars="200" w:firstLine="643"/>
        <w:rPr>
          <w:rFonts w:ascii="楷体_GB2312" w:eastAsia="楷体_GB2312" w:hAnsi="楷体"/>
          <w:b/>
          <w:sz w:val="32"/>
          <w:szCs w:val="32"/>
        </w:rPr>
      </w:pPr>
      <w:r w:rsidRPr="00EA2938">
        <w:rPr>
          <w:rFonts w:ascii="楷体_GB2312" w:eastAsia="楷体_GB2312" w:hAnsi="楷体" w:hint="eastAsia"/>
          <w:b/>
          <w:sz w:val="32"/>
          <w:szCs w:val="32"/>
        </w:rPr>
        <w:t>（一）</w:t>
      </w:r>
      <w:r w:rsidRPr="00EA2938">
        <w:rPr>
          <w:rFonts w:ascii="楷体_GB2312" w:eastAsia="楷体_GB2312" w:hAnsi="楷体"/>
          <w:b/>
          <w:sz w:val="32"/>
          <w:szCs w:val="32"/>
        </w:rPr>
        <w:t>提升监管效能</w:t>
      </w:r>
    </w:p>
    <w:p w14:paraId="133B754E" w14:textId="77777777" w:rsidR="008C5A39" w:rsidRDefault="00116737" w:rsidP="00EA2938">
      <w:pPr>
        <w:spacing w:line="600" w:lineRule="exact"/>
        <w:ind w:firstLineChars="200" w:firstLine="640"/>
        <w:rPr>
          <w:rFonts w:ascii="仿宋_GB2312" w:eastAsia="仿宋_GB2312"/>
          <w:sz w:val="32"/>
          <w:szCs w:val="32"/>
        </w:rPr>
      </w:pPr>
      <w:r>
        <w:rPr>
          <w:rFonts w:ascii="仿宋_GB2312" w:eastAsia="仿宋_GB2312"/>
          <w:sz w:val="32"/>
          <w:szCs w:val="32"/>
        </w:rPr>
        <w:t>通过对核技术利用单位的分类分级，合理分配监管资源，</w:t>
      </w:r>
      <w:r>
        <w:rPr>
          <w:rFonts w:ascii="仿宋_GB2312" w:eastAsia="仿宋_GB2312" w:hint="eastAsia"/>
          <w:sz w:val="32"/>
          <w:szCs w:val="32"/>
        </w:rPr>
        <w:t>推进</w:t>
      </w:r>
      <w:r>
        <w:rPr>
          <w:rFonts w:ascii="仿宋_GB2312" w:eastAsia="仿宋_GB2312"/>
          <w:sz w:val="32"/>
          <w:szCs w:val="32"/>
        </w:rPr>
        <w:t>监管力量精准聚焦于高风险领域与薄弱环节，显著提升监管工作的针对性与有效性。</w:t>
      </w:r>
    </w:p>
    <w:p w14:paraId="6C3B72BE" w14:textId="77777777" w:rsidR="008C5A39" w:rsidRPr="00EA2938" w:rsidRDefault="00116737" w:rsidP="00EA2938">
      <w:pPr>
        <w:spacing w:line="600" w:lineRule="exact"/>
        <w:ind w:firstLineChars="200" w:firstLine="643"/>
        <w:rPr>
          <w:rFonts w:ascii="楷体_GB2312" w:eastAsia="楷体_GB2312" w:hAnsi="楷体"/>
          <w:b/>
          <w:sz w:val="32"/>
          <w:szCs w:val="32"/>
        </w:rPr>
      </w:pPr>
      <w:r w:rsidRPr="00EA2938">
        <w:rPr>
          <w:rFonts w:ascii="楷体_GB2312" w:eastAsia="楷体_GB2312" w:hAnsi="楷体" w:hint="eastAsia"/>
          <w:b/>
          <w:sz w:val="32"/>
          <w:szCs w:val="32"/>
        </w:rPr>
        <w:t>（二）</w:t>
      </w:r>
      <w:r w:rsidRPr="00EA2938">
        <w:rPr>
          <w:rFonts w:ascii="楷体_GB2312" w:eastAsia="楷体_GB2312" w:hAnsi="楷体"/>
          <w:b/>
          <w:sz w:val="32"/>
          <w:szCs w:val="32"/>
        </w:rPr>
        <w:t>优化监管体系</w:t>
      </w:r>
    </w:p>
    <w:p w14:paraId="1BC3E783" w14:textId="77777777" w:rsidR="008C5A39" w:rsidRDefault="00116737" w:rsidP="00EA2938">
      <w:pPr>
        <w:spacing w:line="600" w:lineRule="exact"/>
        <w:ind w:firstLineChars="200" w:firstLine="640"/>
        <w:rPr>
          <w:rFonts w:ascii="仿宋_GB2312" w:eastAsia="仿宋_GB2312"/>
          <w:sz w:val="32"/>
          <w:szCs w:val="32"/>
        </w:rPr>
      </w:pPr>
      <w:r>
        <w:rPr>
          <w:rFonts w:ascii="仿宋_GB2312" w:eastAsia="仿宋_GB2312"/>
          <w:sz w:val="32"/>
          <w:szCs w:val="32"/>
        </w:rPr>
        <w:t>建立标准化、规范化且具有</w:t>
      </w:r>
      <w:r>
        <w:rPr>
          <w:rFonts w:ascii="仿宋_GB2312" w:eastAsia="仿宋_GB2312" w:hint="eastAsia"/>
          <w:sz w:val="32"/>
          <w:szCs w:val="32"/>
        </w:rPr>
        <w:t>本市</w:t>
      </w:r>
      <w:r>
        <w:rPr>
          <w:rFonts w:ascii="仿宋_GB2312" w:eastAsia="仿宋_GB2312"/>
          <w:sz w:val="32"/>
          <w:szCs w:val="32"/>
        </w:rPr>
        <w:t>特</w:t>
      </w:r>
      <w:r>
        <w:rPr>
          <w:rFonts w:ascii="仿宋_GB2312" w:eastAsia="仿宋_GB2312" w:hint="eastAsia"/>
          <w:sz w:val="32"/>
          <w:szCs w:val="32"/>
        </w:rPr>
        <w:t>点</w:t>
      </w:r>
      <w:r>
        <w:rPr>
          <w:rFonts w:ascii="仿宋_GB2312" w:eastAsia="仿宋_GB2312"/>
          <w:sz w:val="32"/>
          <w:szCs w:val="32"/>
        </w:rPr>
        <w:t>的分类分级监管体系，填补既往监管模式的不足，为辐射监管工作提供清晰明确的操作指南与制度支撑，促进监管流程</w:t>
      </w:r>
      <w:r>
        <w:rPr>
          <w:rFonts w:ascii="仿宋_GB2312" w:eastAsia="仿宋_GB2312" w:hint="eastAsia"/>
          <w:sz w:val="32"/>
          <w:szCs w:val="32"/>
        </w:rPr>
        <w:t>进一步</w:t>
      </w:r>
      <w:r>
        <w:rPr>
          <w:rFonts w:ascii="仿宋_GB2312" w:eastAsia="仿宋_GB2312"/>
          <w:sz w:val="32"/>
          <w:szCs w:val="32"/>
        </w:rPr>
        <w:t>优化。</w:t>
      </w:r>
    </w:p>
    <w:p w14:paraId="3946C706" w14:textId="77777777" w:rsidR="008C5A39" w:rsidRPr="00EA2938" w:rsidRDefault="00116737" w:rsidP="00EA2938">
      <w:pPr>
        <w:spacing w:line="600" w:lineRule="exact"/>
        <w:ind w:firstLineChars="200" w:firstLine="643"/>
        <w:rPr>
          <w:rFonts w:ascii="楷体_GB2312" w:eastAsia="楷体_GB2312" w:hAnsi="楷体"/>
          <w:b/>
          <w:sz w:val="32"/>
          <w:szCs w:val="32"/>
        </w:rPr>
      </w:pPr>
      <w:r w:rsidRPr="00EA2938">
        <w:rPr>
          <w:rFonts w:ascii="楷体_GB2312" w:eastAsia="楷体_GB2312" w:hAnsi="楷体" w:hint="eastAsia"/>
          <w:b/>
          <w:sz w:val="32"/>
          <w:szCs w:val="32"/>
        </w:rPr>
        <w:t>（三）</w:t>
      </w:r>
      <w:r w:rsidRPr="00EA2938">
        <w:rPr>
          <w:rFonts w:ascii="楷体_GB2312" w:eastAsia="楷体_GB2312" w:hAnsi="楷体"/>
          <w:b/>
          <w:sz w:val="32"/>
          <w:szCs w:val="32"/>
        </w:rPr>
        <w:t>强化企业责任</w:t>
      </w:r>
    </w:p>
    <w:p w14:paraId="5E3E17EC" w14:textId="77777777" w:rsidR="008C5A39" w:rsidRDefault="00116737" w:rsidP="00EA2938">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通过</w:t>
      </w:r>
      <w:r>
        <w:rPr>
          <w:rFonts w:ascii="仿宋_GB2312" w:eastAsia="仿宋_GB2312"/>
          <w:sz w:val="32"/>
          <w:szCs w:val="32"/>
        </w:rPr>
        <w:t>分类分级的激励约束机制，</w:t>
      </w:r>
      <w:r>
        <w:rPr>
          <w:rFonts w:ascii="仿宋_GB2312" w:eastAsia="仿宋_GB2312" w:hint="eastAsia"/>
          <w:sz w:val="32"/>
          <w:szCs w:val="32"/>
        </w:rPr>
        <w:t>督促</w:t>
      </w:r>
      <w:r>
        <w:rPr>
          <w:rFonts w:ascii="仿宋_GB2312" w:eastAsia="仿宋_GB2312"/>
          <w:sz w:val="32"/>
          <w:szCs w:val="32"/>
        </w:rPr>
        <w:t>核技术利用企业主动审视并提升自身辐射安全管理水平，切实落实企业主体责任，从源头筑牢辐射安全防线。</w:t>
      </w:r>
    </w:p>
    <w:p w14:paraId="226F08B1" w14:textId="77777777" w:rsidR="008C5A39" w:rsidRPr="00EA2938" w:rsidRDefault="00116737" w:rsidP="00EA2938">
      <w:pPr>
        <w:spacing w:line="600" w:lineRule="exact"/>
        <w:ind w:firstLineChars="200" w:firstLine="643"/>
        <w:rPr>
          <w:rFonts w:ascii="楷体_GB2312" w:eastAsia="楷体_GB2312" w:hAnsi="楷体"/>
          <w:b/>
          <w:sz w:val="32"/>
          <w:szCs w:val="32"/>
        </w:rPr>
      </w:pPr>
      <w:r w:rsidRPr="00EA2938">
        <w:rPr>
          <w:rFonts w:ascii="楷体_GB2312" w:eastAsia="楷体_GB2312" w:hAnsi="楷体" w:hint="eastAsia"/>
          <w:b/>
          <w:sz w:val="32"/>
          <w:szCs w:val="32"/>
        </w:rPr>
        <w:t>（四）</w:t>
      </w:r>
      <w:r w:rsidRPr="00EA2938">
        <w:rPr>
          <w:rFonts w:ascii="楷体_GB2312" w:eastAsia="楷体_GB2312" w:hAnsi="楷体"/>
          <w:b/>
          <w:sz w:val="32"/>
          <w:szCs w:val="32"/>
        </w:rPr>
        <w:t>精准防控风险</w:t>
      </w:r>
    </w:p>
    <w:p w14:paraId="2C237A4C" w14:textId="77777777" w:rsidR="008C5A39" w:rsidRDefault="00116737" w:rsidP="00EA2938">
      <w:pPr>
        <w:spacing w:line="600" w:lineRule="exact"/>
        <w:ind w:firstLineChars="200" w:firstLine="640"/>
        <w:rPr>
          <w:rFonts w:ascii="仿宋_GB2312" w:eastAsia="仿宋_GB2312"/>
          <w:sz w:val="32"/>
          <w:szCs w:val="32"/>
        </w:rPr>
      </w:pPr>
      <w:r>
        <w:rPr>
          <w:rFonts w:ascii="仿宋_GB2312" w:eastAsia="仿宋_GB2312"/>
          <w:sz w:val="32"/>
          <w:szCs w:val="32"/>
        </w:rPr>
        <w:t>依据科学合理的分类分级标准，对不同风险层级的单位实施差异化监管策略，实现对辐射安全风险的精准识别</w:t>
      </w:r>
      <w:r>
        <w:rPr>
          <w:rFonts w:ascii="仿宋_GB2312" w:eastAsia="仿宋_GB2312" w:hint="eastAsia"/>
          <w:sz w:val="32"/>
          <w:szCs w:val="32"/>
        </w:rPr>
        <w:t>与</w:t>
      </w:r>
      <w:r>
        <w:rPr>
          <w:rFonts w:ascii="仿宋_GB2312" w:eastAsia="仿宋_GB2312"/>
          <w:sz w:val="32"/>
          <w:szCs w:val="32"/>
        </w:rPr>
        <w:t>有效防控，降低辐射事故发生的可能性及其潜在危害。</w:t>
      </w:r>
    </w:p>
    <w:p w14:paraId="44AF2D70" w14:textId="77777777" w:rsidR="008C5A39" w:rsidRDefault="00116737" w:rsidP="00EA2938">
      <w:pPr>
        <w:spacing w:line="600" w:lineRule="exact"/>
        <w:ind w:firstLineChars="200" w:firstLine="640"/>
        <w:rPr>
          <w:rFonts w:ascii="黑体" w:eastAsia="黑体" w:hAnsi="黑体"/>
          <w:sz w:val="32"/>
          <w:szCs w:val="32"/>
        </w:rPr>
      </w:pPr>
      <w:r>
        <w:rPr>
          <w:rFonts w:ascii="黑体" w:eastAsia="黑体" w:hAnsi="黑体" w:hint="eastAsia"/>
          <w:sz w:val="32"/>
          <w:szCs w:val="32"/>
        </w:rPr>
        <w:t>三、主要内容</w:t>
      </w:r>
    </w:p>
    <w:p w14:paraId="03CD1450" w14:textId="77777777" w:rsidR="008C5A39" w:rsidRPr="00EA2938" w:rsidRDefault="00116737" w:rsidP="00EA2938">
      <w:pPr>
        <w:spacing w:line="600" w:lineRule="exact"/>
        <w:ind w:firstLineChars="200" w:firstLine="643"/>
        <w:rPr>
          <w:rFonts w:ascii="楷体_GB2312" w:eastAsia="楷体_GB2312" w:hAnsi="楷体"/>
          <w:b/>
          <w:sz w:val="32"/>
          <w:szCs w:val="32"/>
        </w:rPr>
      </w:pPr>
      <w:r w:rsidRPr="00EA2938">
        <w:rPr>
          <w:rFonts w:ascii="楷体_GB2312" w:eastAsia="楷体_GB2312" w:hAnsi="楷体" w:hint="eastAsia"/>
          <w:b/>
          <w:sz w:val="32"/>
          <w:szCs w:val="32"/>
        </w:rPr>
        <w:t>（一）总则</w:t>
      </w:r>
    </w:p>
    <w:p w14:paraId="6BFAEB1A" w14:textId="77777777" w:rsidR="008C5A39" w:rsidRDefault="00116737" w:rsidP="00EA2938">
      <w:pPr>
        <w:spacing w:line="600" w:lineRule="exact"/>
        <w:ind w:firstLineChars="200" w:firstLine="640"/>
        <w:rPr>
          <w:rFonts w:ascii="仿宋_GB2312" w:eastAsia="仿宋_GB2312"/>
          <w:sz w:val="32"/>
          <w:szCs w:val="32"/>
        </w:rPr>
      </w:pPr>
      <w:r>
        <w:rPr>
          <w:rFonts w:ascii="仿宋_GB2312" w:eastAsia="仿宋_GB2312" w:hint="eastAsia"/>
          <w:sz w:val="32"/>
          <w:szCs w:val="32"/>
        </w:rPr>
        <w:t>明确了编制目的；阐述了核技术利用的定义、办法的适用范围；确立了以辐射安全许可证“谁审批、谁监管”为原则；细化了市、区两级生态环境部门的职责分工，为后续监管工作奠定基础。</w:t>
      </w:r>
    </w:p>
    <w:p w14:paraId="4DB49F06" w14:textId="77777777" w:rsidR="008C5A39" w:rsidRPr="00EA2938" w:rsidRDefault="00116737" w:rsidP="00EA2938">
      <w:pPr>
        <w:spacing w:line="600" w:lineRule="exact"/>
        <w:ind w:firstLineChars="200" w:firstLine="643"/>
        <w:rPr>
          <w:rFonts w:ascii="楷体_GB2312" w:eastAsia="楷体_GB2312" w:hAnsi="楷体"/>
          <w:b/>
          <w:sz w:val="32"/>
          <w:szCs w:val="32"/>
        </w:rPr>
      </w:pPr>
      <w:r w:rsidRPr="00EA2938">
        <w:rPr>
          <w:rFonts w:ascii="楷体_GB2312" w:eastAsia="楷体_GB2312" w:hAnsi="楷体" w:hint="eastAsia"/>
          <w:b/>
          <w:sz w:val="32"/>
          <w:szCs w:val="32"/>
        </w:rPr>
        <w:t>（二）分类分级</w:t>
      </w:r>
    </w:p>
    <w:p w14:paraId="78D8D081" w14:textId="77777777" w:rsidR="008C5A39" w:rsidRDefault="00116737" w:rsidP="00EA2938">
      <w:pPr>
        <w:spacing w:line="600" w:lineRule="exact"/>
        <w:ind w:firstLineChars="200" w:firstLine="640"/>
        <w:rPr>
          <w:rFonts w:ascii="仿宋_GB2312" w:eastAsia="仿宋_GB2312"/>
          <w:sz w:val="32"/>
          <w:szCs w:val="32"/>
        </w:rPr>
      </w:pPr>
      <w:r>
        <w:rPr>
          <w:rFonts w:eastAsia="仿宋_GB2312" w:hint="eastAsia"/>
          <w:color w:val="000000"/>
          <w:sz w:val="32"/>
          <w:szCs w:val="32"/>
        </w:rPr>
        <w:t>核技术利利用</w:t>
      </w:r>
      <w:r>
        <w:rPr>
          <w:rFonts w:ascii="仿宋_GB2312" w:eastAsia="仿宋_GB2312" w:hAnsi="仿宋" w:hint="eastAsia"/>
          <w:sz w:val="32"/>
          <w:szCs w:val="32"/>
        </w:rPr>
        <w:t>活动种类范围</w:t>
      </w:r>
      <w:r>
        <w:rPr>
          <w:rFonts w:eastAsia="仿宋_GB2312" w:hint="eastAsia"/>
          <w:color w:val="000000"/>
          <w:sz w:val="32"/>
          <w:szCs w:val="32"/>
        </w:rPr>
        <w:t>、放射性废物产生和排放量等综合因素，将核技术利用固有风险</w:t>
      </w:r>
      <w:r>
        <w:rPr>
          <w:rFonts w:ascii="仿宋_GB2312" w:eastAsia="仿宋_GB2312" w:hAnsi="仿宋" w:hint="eastAsia"/>
          <w:sz w:val="32"/>
          <w:szCs w:val="32"/>
        </w:rPr>
        <w:t>从高到低分为三类，分别为重点监管单位、一般监管单位和简易监管单位</w:t>
      </w:r>
      <w:r>
        <w:rPr>
          <w:rFonts w:ascii="仿宋_GB2312" w:eastAsia="仿宋_GB2312" w:hint="eastAsia"/>
          <w:sz w:val="32"/>
          <w:szCs w:val="32"/>
        </w:rPr>
        <w:t>；</w:t>
      </w:r>
      <w:r>
        <w:rPr>
          <w:rFonts w:ascii="仿宋_GB2312" w:eastAsia="仿宋_GB2312" w:hAnsi="仿宋" w:hint="eastAsia"/>
          <w:sz w:val="32"/>
          <w:szCs w:val="32"/>
        </w:rPr>
        <w:t>根据核技术利用单位辐射安全管理水平、辐射防护措施落实、放射性三废管理、辐射事故应急能力对核技术利用单位辐射风险防范能力进行计分，将其从高到低分为A、B、C、D四个等级</w:t>
      </w:r>
      <w:r>
        <w:rPr>
          <w:rFonts w:ascii="仿宋_GB2312" w:eastAsia="仿宋_GB2312"/>
          <w:sz w:val="32"/>
          <w:szCs w:val="32"/>
        </w:rPr>
        <w:t>。</w:t>
      </w:r>
      <w:r>
        <w:rPr>
          <w:rFonts w:ascii="仿宋_GB2312" w:eastAsia="仿宋_GB2312" w:hint="eastAsia"/>
          <w:sz w:val="32"/>
          <w:szCs w:val="32"/>
        </w:rPr>
        <w:t>提出了借助数据资源整合与系统互联互通实现数智化评估的方法。明确了实施要求，即每年2月完成评估，并以此作为年度执法与监管计划依据，说明特殊监管情形，使分类分</w:t>
      </w:r>
      <w:r>
        <w:rPr>
          <w:rFonts w:ascii="仿宋_GB2312" w:eastAsia="仿宋_GB2312" w:hint="eastAsia"/>
          <w:sz w:val="32"/>
          <w:szCs w:val="32"/>
        </w:rPr>
        <w:lastRenderedPageBreak/>
        <w:t>级工作有章可循。</w:t>
      </w:r>
    </w:p>
    <w:p w14:paraId="18EA9142" w14:textId="77777777" w:rsidR="008C5A39" w:rsidRPr="00EA2938" w:rsidRDefault="00116737" w:rsidP="00EA2938">
      <w:pPr>
        <w:spacing w:line="600" w:lineRule="exact"/>
        <w:ind w:firstLineChars="200" w:firstLine="643"/>
        <w:rPr>
          <w:rFonts w:ascii="楷体_GB2312" w:eastAsia="楷体_GB2312" w:hAnsi="楷体"/>
          <w:b/>
          <w:sz w:val="32"/>
          <w:szCs w:val="32"/>
        </w:rPr>
      </w:pPr>
      <w:r w:rsidRPr="00EA2938">
        <w:rPr>
          <w:rFonts w:ascii="楷体_GB2312" w:eastAsia="楷体_GB2312" w:hAnsi="楷体" w:hint="eastAsia"/>
          <w:b/>
          <w:sz w:val="32"/>
          <w:szCs w:val="32"/>
        </w:rPr>
        <w:t>（三）监督管理</w:t>
      </w:r>
    </w:p>
    <w:p w14:paraId="44F6031B" w14:textId="77777777" w:rsidR="008C5A39" w:rsidRDefault="00116737" w:rsidP="00EA2938">
      <w:pPr>
        <w:spacing w:line="600" w:lineRule="exact"/>
        <w:ind w:firstLineChars="200" w:firstLine="640"/>
        <w:rPr>
          <w:rFonts w:ascii="仿宋_GB2312" w:eastAsia="仿宋_GB2312"/>
          <w:sz w:val="32"/>
          <w:szCs w:val="32"/>
        </w:rPr>
      </w:pPr>
      <w:r>
        <w:rPr>
          <w:rFonts w:ascii="仿宋_GB2312" w:eastAsia="仿宋_GB2312" w:hint="eastAsia"/>
          <w:sz w:val="32"/>
          <w:szCs w:val="32"/>
        </w:rPr>
        <w:t>确定了以辐射安全许可证为核心开展监督管理，并充分运用“三监联动”的监管机制，通过集成许可、监管、执法、信用系统数据资源，实现对核技术利用单位的全生命周期监管和信息共享；明确了针对不同风险类别单位的精细化管理要求以及依据分级结果确定的监管频次和可采取的监管方式、行政许可申请方式，全面涵盖了监督管理的各个关键环节。</w:t>
      </w:r>
    </w:p>
    <w:p w14:paraId="426292FA" w14:textId="77777777" w:rsidR="008C5A39" w:rsidRPr="00EA2938" w:rsidRDefault="00116737" w:rsidP="00EA2938">
      <w:pPr>
        <w:spacing w:line="600" w:lineRule="exact"/>
        <w:ind w:firstLineChars="200" w:firstLine="643"/>
        <w:rPr>
          <w:rFonts w:ascii="楷体_GB2312" w:eastAsia="楷体_GB2312" w:hAnsi="楷体"/>
          <w:b/>
          <w:sz w:val="32"/>
          <w:szCs w:val="32"/>
        </w:rPr>
      </w:pPr>
      <w:r w:rsidRPr="00EA2938">
        <w:rPr>
          <w:rFonts w:ascii="楷体_GB2312" w:eastAsia="楷体_GB2312" w:hAnsi="楷体" w:hint="eastAsia"/>
          <w:b/>
          <w:sz w:val="32"/>
          <w:szCs w:val="32"/>
        </w:rPr>
        <w:t>（四）保障措施</w:t>
      </w:r>
    </w:p>
    <w:p w14:paraId="7FCAA2E1" w14:textId="77777777" w:rsidR="008C5A39" w:rsidRDefault="00116737" w:rsidP="00EA2938">
      <w:pPr>
        <w:spacing w:line="600" w:lineRule="exact"/>
        <w:ind w:firstLineChars="200" w:firstLine="640"/>
        <w:rPr>
          <w:rFonts w:ascii="仿宋_GB2312" w:eastAsia="仿宋_GB2312"/>
          <w:sz w:val="32"/>
          <w:szCs w:val="32"/>
        </w:rPr>
      </w:pPr>
      <w:r>
        <w:rPr>
          <w:rFonts w:ascii="仿宋_GB2312" w:eastAsia="仿宋_GB2312" w:hint="eastAsia"/>
          <w:sz w:val="32"/>
          <w:szCs w:val="32"/>
        </w:rPr>
        <w:t>从组织领导层面强调市级统筹与区级考核等要求，确保工作实效；要求向企业公开评估结果并加强宣传引导；明确企业主体责任，推动其提升安全意识与自律诚信；提出按规定对信访、举报等进行检查处理；明确第三方服务，加强技术支持，为办法的有效实施提供全方位支撑。</w:t>
      </w:r>
    </w:p>
    <w:p w14:paraId="6224D6A9" w14:textId="471EB087" w:rsidR="00344068" w:rsidRPr="00EA2938" w:rsidRDefault="00344068" w:rsidP="00344068">
      <w:pPr>
        <w:spacing w:line="600" w:lineRule="exact"/>
        <w:ind w:firstLineChars="200" w:firstLine="643"/>
        <w:rPr>
          <w:rFonts w:ascii="楷体_GB2312" w:eastAsia="楷体_GB2312" w:hAnsi="楷体"/>
          <w:b/>
          <w:sz w:val="32"/>
          <w:szCs w:val="32"/>
        </w:rPr>
      </w:pPr>
      <w:r w:rsidRPr="00EA2938">
        <w:rPr>
          <w:rFonts w:ascii="楷体_GB2312" w:eastAsia="楷体_GB2312" w:hAnsi="楷体" w:hint="eastAsia"/>
          <w:b/>
          <w:sz w:val="32"/>
          <w:szCs w:val="32"/>
        </w:rPr>
        <w:t>（</w:t>
      </w:r>
      <w:r>
        <w:rPr>
          <w:rFonts w:ascii="楷体_GB2312" w:eastAsia="楷体_GB2312" w:hAnsi="楷体" w:hint="eastAsia"/>
          <w:b/>
          <w:sz w:val="32"/>
          <w:szCs w:val="32"/>
        </w:rPr>
        <w:t>五</w:t>
      </w:r>
      <w:r w:rsidRPr="00EA2938">
        <w:rPr>
          <w:rFonts w:ascii="楷体_GB2312" w:eastAsia="楷体_GB2312" w:hAnsi="楷体" w:hint="eastAsia"/>
          <w:b/>
          <w:sz w:val="32"/>
          <w:szCs w:val="32"/>
        </w:rPr>
        <w:t>）</w:t>
      </w:r>
      <w:r>
        <w:rPr>
          <w:rFonts w:ascii="楷体_GB2312" w:eastAsia="楷体_GB2312" w:hAnsi="楷体" w:hint="eastAsia"/>
          <w:b/>
          <w:sz w:val="32"/>
          <w:szCs w:val="32"/>
        </w:rPr>
        <w:t>其他</w:t>
      </w:r>
      <w:bookmarkStart w:id="0" w:name="_GoBack"/>
      <w:bookmarkEnd w:id="0"/>
    </w:p>
    <w:p w14:paraId="7EA4740F" w14:textId="49154A8B" w:rsidR="008C5A39" w:rsidRPr="00661B33" w:rsidRDefault="00661B33" w:rsidP="00661B33">
      <w:pPr>
        <w:adjustRightInd w:val="0"/>
        <w:snapToGrid w:val="0"/>
        <w:spacing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根据规范性文件要求，明确《办法》有效期为2年。</w:t>
      </w:r>
    </w:p>
    <w:sectPr w:rsidR="008C5A39" w:rsidRPr="00661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B8560" w14:textId="77777777" w:rsidR="00DE664A" w:rsidRDefault="00DE664A" w:rsidP="00EA2938">
      <w:r>
        <w:separator/>
      </w:r>
    </w:p>
  </w:endnote>
  <w:endnote w:type="continuationSeparator" w:id="0">
    <w:p w14:paraId="0B0C638E" w14:textId="77777777" w:rsidR="00DE664A" w:rsidRDefault="00DE664A" w:rsidP="00EA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CD915" w14:textId="77777777" w:rsidR="00DE664A" w:rsidRDefault="00DE664A" w:rsidP="00EA2938">
      <w:r>
        <w:separator/>
      </w:r>
    </w:p>
  </w:footnote>
  <w:footnote w:type="continuationSeparator" w:id="0">
    <w:p w14:paraId="738DB480" w14:textId="77777777" w:rsidR="00DE664A" w:rsidRDefault="00DE664A" w:rsidP="00EA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3E"/>
    <w:rsid w:val="000000FE"/>
    <w:rsid w:val="0005022E"/>
    <w:rsid w:val="000822AD"/>
    <w:rsid w:val="000B4197"/>
    <w:rsid w:val="00105702"/>
    <w:rsid w:val="00116737"/>
    <w:rsid w:val="001C429D"/>
    <w:rsid w:val="00231A49"/>
    <w:rsid w:val="0029333E"/>
    <w:rsid w:val="00321C2B"/>
    <w:rsid w:val="003302E2"/>
    <w:rsid w:val="00337010"/>
    <w:rsid w:val="00344068"/>
    <w:rsid w:val="004A03C5"/>
    <w:rsid w:val="00557D7B"/>
    <w:rsid w:val="00590A27"/>
    <w:rsid w:val="006562EE"/>
    <w:rsid w:val="00661B33"/>
    <w:rsid w:val="006C233C"/>
    <w:rsid w:val="00740DB8"/>
    <w:rsid w:val="007D2E25"/>
    <w:rsid w:val="00802717"/>
    <w:rsid w:val="008B6CC2"/>
    <w:rsid w:val="008C5A39"/>
    <w:rsid w:val="009462F6"/>
    <w:rsid w:val="00A32A87"/>
    <w:rsid w:val="00A41D79"/>
    <w:rsid w:val="00BF27DE"/>
    <w:rsid w:val="00C23DA0"/>
    <w:rsid w:val="00DE664A"/>
    <w:rsid w:val="00E1092A"/>
    <w:rsid w:val="00E518F0"/>
    <w:rsid w:val="00EA2938"/>
    <w:rsid w:val="0B181E73"/>
    <w:rsid w:val="35DA2BF3"/>
    <w:rsid w:val="460A267D"/>
    <w:rsid w:val="7467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6C264-317F-4A79-B28F-42873578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pPr>
      <w:ind w:firstLineChars="200" w:firstLine="420"/>
    </w:pPr>
    <w:rPr>
      <w:rFonts w:ascii="Times New Roman" w:eastAsia="宋体"/>
    </w:rPr>
  </w:style>
  <w:style w:type="paragraph" w:styleId="a3">
    <w:name w:val="Body Text Indent"/>
    <w:basedOn w:val="a"/>
    <w:pPr>
      <w:snapToGrid w:val="0"/>
      <w:spacing w:before="120" w:line="520" w:lineRule="atLeast"/>
      <w:ind w:firstLine="570"/>
    </w:pPr>
    <w:rPr>
      <w:rFonts w:ascii="仿宋_GB2312" w:eastAsia="仿宋_GB2312" w:hAnsi="Times New Roman" w:cs="Times New Roman"/>
      <w:sz w:val="30"/>
      <w:szCs w:val="20"/>
    </w:rPr>
  </w:style>
  <w:style w:type="paragraph" w:styleId="a4">
    <w:name w:val="header"/>
    <w:basedOn w:val="a"/>
    <w:link w:val="Char"/>
    <w:uiPriority w:val="99"/>
    <w:unhideWhenUsed/>
    <w:rsid w:val="00EA2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2938"/>
    <w:rPr>
      <w:kern w:val="2"/>
      <w:sz w:val="18"/>
      <w:szCs w:val="18"/>
    </w:rPr>
  </w:style>
  <w:style w:type="paragraph" w:styleId="a5">
    <w:name w:val="footer"/>
    <w:basedOn w:val="a"/>
    <w:link w:val="Char0"/>
    <w:uiPriority w:val="99"/>
    <w:unhideWhenUsed/>
    <w:rsid w:val="00EA2938"/>
    <w:pPr>
      <w:tabs>
        <w:tab w:val="center" w:pos="4153"/>
        <w:tab w:val="right" w:pos="8306"/>
      </w:tabs>
      <w:snapToGrid w:val="0"/>
      <w:jc w:val="left"/>
    </w:pPr>
    <w:rPr>
      <w:sz w:val="18"/>
      <w:szCs w:val="18"/>
    </w:rPr>
  </w:style>
  <w:style w:type="character" w:customStyle="1" w:styleId="Char0">
    <w:name w:val="页脚 Char"/>
    <w:basedOn w:val="a0"/>
    <w:link w:val="a5"/>
    <w:uiPriority w:val="99"/>
    <w:rsid w:val="00EA2938"/>
    <w:rPr>
      <w:kern w:val="2"/>
      <w:sz w:val="18"/>
      <w:szCs w:val="18"/>
    </w:rPr>
  </w:style>
  <w:style w:type="paragraph" w:styleId="a6">
    <w:name w:val="Balloon Text"/>
    <w:basedOn w:val="a"/>
    <w:link w:val="Char1"/>
    <w:uiPriority w:val="99"/>
    <w:semiHidden/>
    <w:unhideWhenUsed/>
    <w:rsid w:val="00EA2938"/>
    <w:rPr>
      <w:sz w:val="18"/>
      <w:szCs w:val="18"/>
    </w:rPr>
  </w:style>
  <w:style w:type="character" w:customStyle="1" w:styleId="Char1">
    <w:name w:val="批注框文本 Char"/>
    <w:basedOn w:val="a0"/>
    <w:link w:val="a6"/>
    <w:uiPriority w:val="99"/>
    <w:semiHidden/>
    <w:rsid w:val="00EA293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81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187</Words>
  <Characters>1067</Characters>
  <Application>Microsoft Office Word</Application>
  <DocSecurity>0</DocSecurity>
  <Lines>8</Lines>
  <Paragraphs>2</Paragraphs>
  <ScaleCrop>false</ScaleCrop>
  <Company>HP Inc.</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贺 佳婕</cp:lastModifiedBy>
  <cp:revision>22</cp:revision>
  <cp:lastPrinted>2024-12-16T06:39:00Z</cp:lastPrinted>
  <dcterms:created xsi:type="dcterms:W3CDTF">2024-11-27T05:19:00Z</dcterms:created>
  <dcterms:modified xsi:type="dcterms:W3CDTF">2024-12-18T02:51:00Z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A4A9A4BF428B4225AEA8888CF12A50F9_12</vt:lpwstr>
  </property>
</Properties>
</file>